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b2fc040004a82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8980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"BRAĆA SELJAN" 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921.901,57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957.794,10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974.999,26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949.466,93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8.327,17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2.843,75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5.204,12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183,0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2.754,57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5.085,80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184,6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3.241,37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Ukupan višak prihoda i primitaka (šifra X005) ostvaren je ponajprije zbog povećanih prihoda od najma dijela školske zgrade u Domobranskoj ulici. Prostor je tijekom izvještajnog razdoblja bio dan na korištenje učenicima i djelatnicima Osnovne škole Dragojle Jarnević za potrebe održavanja nastave za vrijeme obnove njihove matične školske zgrade, što je rezultiralo povećanjem prihoda od najma.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izvještajnog razdoblja iskazane su dospjele obveze u iznosu od 337,50 EUR. Obveza se odnosi na račun za uslugu čistoće s dospijećem 30. lipnja 2026. godine. Račun je dostavljen u Riznicu Grada Karlovca na izvršenje plaćanja te je podmiren 7. srpnja 2026.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EU IZVJEŠTAJ -510 PROGRAMI UNIJE</w:t>
      </w:r>
    </w:p>
    <w:p>
      <w:r>
        <w:t xml:space="preserve">Prihodi iznose  1.708,52 eura a odnose se za navedeno izvještajno razdoblje za raspored sredstava za mlijeko u sklopu Školske sheme.</w:t>
      </w:r>
    </w:p>
    <w:p>
      <w:r>
        <w:t xml:space="preserve">Inače su sačinjeni od prihoda za Projekt Erasmus i školske Sheme mlijeko i medni dan. </w:t>
      </w:r>
    </w:p>
    <w:p>
      <w:r>
        <w:t xml:space="preserve"> </w:t>
      </w:r>
    </w:p>
    <w:p>
      <w:r>
        <w:t xml:space="preserve">EU IZVJEŠTA- 561 EUROPSKI SOCIJALNI FOND PLUS</w:t>
      </w:r>
    </w:p>
    <w:p>
      <w:r>
        <w:t xml:space="preserve">Prihodi u iznosu od 37.998,34 eura su sačinjeni za financiranje plaća i ostalih materijalnih prava zaposlenika zaposlenih u sklopu projekta Pomoćnici u nastavi VII.</w:t>
      </w:r>
    </w:p>
    <w:p>
      <w:r>
        <w:t xml:space="preserve">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645f37d52784a34" /></Relationships>
</file>