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874B" w14:textId="77777777" w:rsidR="004343ED" w:rsidRDefault="004343ED">
      <w:pPr>
        <w:pStyle w:val="Bezproreda"/>
      </w:pPr>
    </w:p>
    <w:p w14:paraId="7DA93564" w14:textId="77777777" w:rsidR="004343ED" w:rsidRDefault="004343ED">
      <w:pPr>
        <w:pStyle w:val="Bezproreda"/>
      </w:pPr>
    </w:p>
    <w:p w14:paraId="72112BCA" w14:textId="2E3335F1" w:rsidR="007B1DE9" w:rsidRDefault="00096288">
      <w:pPr>
        <w:pStyle w:val="Bezproreda"/>
      </w:pPr>
      <w:r>
        <w:t>REPUBLIKA HRVATSKA</w:t>
      </w:r>
    </w:p>
    <w:p w14:paraId="17C9CC03" w14:textId="49E8D36E" w:rsidR="007B1DE9" w:rsidRDefault="00096288">
      <w:pPr>
        <w:pStyle w:val="Bezproreda"/>
      </w:pPr>
      <w:r>
        <w:t xml:space="preserve">MINISTARSTVO ZNANOSTI </w:t>
      </w:r>
      <w:r w:rsidR="00EC69BF">
        <w:t>,</w:t>
      </w:r>
      <w:r>
        <w:t xml:space="preserve"> OBRAZOVANJA</w:t>
      </w:r>
      <w:r w:rsidR="00EC69BF">
        <w:t xml:space="preserve"> I MLADIH</w:t>
      </w:r>
    </w:p>
    <w:p w14:paraId="33A44AA9" w14:textId="32F5A66B" w:rsidR="007B1DE9" w:rsidRDefault="00096288">
      <w:pPr>
        <w:pStyle w:val="Bezproreda"/>
      </w:pPr>
      <w:r>
        <w:t xml:space="preserve">PRORAČUNSKI KORISNIK:  OSNOVNA ŠKOLA </w:t>
      </w:r>
      <w:r w:rsidR="00826F8E">
        <w:t>„Braća Seljan“</w:t>
      </w:r>
    </w:p>
    <w:p w14:paraId="40D0F861" w14:textId="314B3AC5" w:rsidR="007B1DE9" w:rsidRDefault="00096288">
      <w:pPr>
        <w:pStyle w:val="Bezproreda"/>
      </w:pPr>
      <w:r>
        <w:t xml:space="preserve">                                                </w:t>
      </w:r>
      <w:r w:rsidR="00826F8E">
        <w:t>Vladimira Nazora 1</w:t>
      </w:r>
    </w:p>
    <w:p w14:paraId="2BD589EA" w14:textId="77777777" w:rsidR="007B1DE9" w:rsidRDefault="00096288">
      <w:pPr>
        <w:pStyle w:val="Bezproreda"/>
      </w:pPr>
      <w:r>
        <w:t xml:space="preserve">                                                47000 KARLOVAC</w:t>
      </w:r>
    </w:p>
    <w:p w14:paraId="3A18A655" w14:textId="16DE923F" w:rsidR="007B1DE9" w:rsidRDefault="00096288">
      <w:pPr>
        <w:pStyle w:val="Bezproreda"/>
      </w:pPr>
      <w:r>
        <w:t>OIB:</w:t>
      </w:r>
      <w:r w:rsidR="00826F8E">
        <w:t>35516086895</w:t>
      </w:r>
    </w:p>
    <w:p w14:paraId="5EB1D9ED" w14:textId="77777777" w:rsidR="007B1DE9" w:rsidRDefault="00096288">
      <w:pPr>
        <w:pStyle w:val="Bezproreda"/>
      </w:pPr>
      <w:r>
        <w:t>ŠIFRA DJELATNOSTI: 8520</w:t>
      </w:r>
    </w:p>
    <w:p w14:paraId="68024B23" w14:textId="77777777" w:rsidR="007B1DE9" w:rsidRDefault="00096288">
      <w:pPr>
        <w:pStyle w:val="Bezproreda"/>
      </w:pPr>
      <w:r>
        <w:t>RAZINA: 31</w:t>
      </w:r>
    </w:p>
    <w:p w14:paraId="3B096916" w14:textId="164E8409" w:rsidR="007B1DE9" w:rsidRDefault="00096288">
      <w:pPr>
        <w:pStyle w:val="Bezproreda"/>
      </w:pPr>
      <w:r>
        <w:t xml:space="preserve">RKPD: </w:t>
      </w:r>
      <w:r w:rsidR="00EC69BF">
        <w:t>0</w:t>
      </w:r>
      <w:r>
        <w:t>8</w:t>
      </w:r>
      <w:r w:rsidR="001A350F">
        <w:t>98</w:t>
      </w:r>
      <w:r w:rsidR="00826F8E">
        <w:t>0</w:t>
      </w:r>
    </w:p>
    <w:p w14:paraId="731155FE" w14:textId="77777777" w:rsidR="007B1DE9" w:rsidRDefault="00096288">
      <w:pPr>
        <w:pStyle w:val="Bezproreda"/>
      </w:pPr>
      <w:r>
        <w:t>ŠIFRA OPĆINE: 179</w:t>
      </w:r>
    </w:p>
    <w:p w14:paraId="7B1CEBC7" w14:textId="11A11DF2" w:rsidR="007B1DE9" w:rsidRDefault="00096288">
      <w:pPr>
        <w:pStyle w:val="Bezproreda"/>
      </w:pPr>
      <w:r>
        <w:t>e-mail: ured@os-</w:t>
      </w:r>
      <w:r w:rsidR="00826F8E">
        <w:t>braca-seljan-ka.skole.hr</w:t>
      </w:r>
    </w:p>
    <w:p w14:paraId="1F8E30E6" w14:textId="77777777" w:rsidR="007B1DE9" w:rsidRDefault="007B1DE9">
      <w:pPr>
        <w:pStyle w:val="Bezproreda"/>
      </w:pPr>
    </w:p>
    <w:p w14:paraId="2CF6A7EB" w14:textId="77777777" w:rsidR="007B1DE9" w:rsidRDefault="007B1DE9">
      <w:pPr>
        <w:pStyle w:val="Bezproreda"/>
      </w:pPr>
    </w:p>
    <w:p w14:paraId="0D94BD56" w14:textId="77777777" w:rsidR="007B1DE9" w:rsidRDefault="007B1DE9">
      <w:pPr>
        <w:pStyle w:val="Bezproreda"/>
      </w:pPr>
    </w:p>
    <w:p w14:paraId="1E30535A" w14:textId="77777777" w:rsidR="007B1DE9" w:rsidRDefault="007B1DE9">
      <w:pPr>
        <w:pStyle w:val="Bezproreda"/>
      </w:pPr>
    </w:p>
    <w:p w14:paraId="3EFA65A2" w14:textId="4A7F56E6" w:rsidR="007B1DE9" w:rsidRDefault="00F10D7B">
      <w:pPr>
        <w:pStyle w:val="Bezproreda"/>
      </w:pPr>
      <w:r>
        <w:t xml:space="preserve"> </w:t>
      </w:r>
    </w:p>
    <w:p w14:paraId="12357F70" w14:textId="2966A2E9" w:rsidR="00F10D7B" w:rsidRDefault="00F10D7B">
      <w:pPr>
        <w:pStyle w:val="Bezproreda"/>
      </w:pPr>
    </w:p>
    <w:p w14:paraId="61849976" w14:textId="77777777" w:rsidR="00F10D7B" w:rsidRDefault="00F10D7B">
      <w:pPr>
        <w:pStyle w:val="Bezproreda"/>
      </w:pPr>
    </w:p>
    <w:p w14:paraId="2719CBB3" w14:textId="77777777" w:rsidR="007B1DE9" w:rsidRDefault="007B1DE9">
      <w:pPr>
        <w:pStyle w:val="Bezproreda"/>
      </w:pPr>
    </w:p>
    <w:p w14:paraId="23A84F52" w14:textId="77777777" w:rsidR="007B1DE9" w:rsidRDefault="007B1DE9">
      <w:pPr>
        <w:pStyle w:val="Bezproreda"/>
      </w:pPr>
    </w:p>
    <w:p w14:paraId="0AF7C699" w14:textId="1C7EA129" w:rsidR="007B1DE9" w:rsidRDefault="007B1DE9">
      <w:pPr>
        <w:pStyle w:val="Bezproreda"/>
      </w:pPr>
    </w:p>
    <w:p w14:paraId="40F952C0" w14:textId="37E853B6" w:rsidR="000F3644" w:rsidRDefault="000F3644">
      <w:pPr>
        <w:pStyle w:val="Bezproreda"/>
      </w:pPr>
    </w:p>
    <w:p w14:paraId="66E03D4A" w14:textId="439C275C" w:rsidR="000F3644" w:rsidRDefault="000F3644">
      <w:pPr>
        <w:pStyle w:val="Bezproreda"/>
      </w:pPr>
    </w:p>
    <w:p w14:paraId="589EC857" w14:textId="5E789C3A" w:rsidR="000F3644" w:rsidRDefault="000F3644">
      <w:pPr>
        <w:pStyle w:val="Bezproreda"/>
      </w:pPr>
    </w:p>
    <w:p w14:paraId="540E491E" w14:textId="77777777" w:rsidR="000F3644" w:rsidRDefault="000F3644">
      <w:pPr>
        <w:pStyle w:val="Bezproreda"/>
      </w:pPr>
    </w:p>
    <w:p w14:paraId="5E8A8BD6" w14:textId="77777777" w:rsidR="007B1DE9" w:rsidRDefault="007B1DE9">
      <w:pPr>
        <w:pStyle w:val="Bezproreda"/>
        <w:rPr>
          <w:sz w:val="28"/>
          <w:szCs w:val="28"/>
        </w:rPr>
      </w:pPr>
    </w:p>
    <w:p w14:paraId="05353240" w14:textId="77777777" w:rsidR="000F3644" w:rsidRDefault="000F3644">
      <w:pPr>
        <w:pStyle w:val="Bezproreda"/>
        <w:jc w:val="center"/>
        <w:rPr>
          <w:b/>
          <w:sz w:val="28"/>
          <w:szCs w:val="28"/>
        </w:rPr>
      </w:pPr>
    </w:p>
    <w:p w14:paraId="042369B0" w14:textId="4317DAE4" w:rsidR="007B1DE9" w:rsidRDefault="00096288">
      <w:pPr>
        <w:pStyle w:val="Bezproreda"/>
        <w:jc w:val="center"/>
      </w:pPr>
      <w:r>
        <w:rPr>
          <w:b/>
          <w:sz w:val="28"/>
          <w:szCs w:val="28"/>
        </w:rPr>
        <w:t>GODIŠNJI  IZVJEŠTAJ</w:t>
      </w:r>
    </w:p>
    <w:p w14:paraId="5D9A295A" w14:textId="0F3CFBAB" w:rsidR="007B1DE9" w:rsidRDefault="00096288">
      <w:pPr>
        <w:pStyle w:val="Bezproreda"/>
        <w:jc w:val="center"/>
      </w:pPr>
      <w:r>
        <w:rPr>
          <w:b/>
          <w:sz w:val="28"/>
          <w:szCs w:val="28"/>
        </w:rPr>
        <w:t xml:space="preserve"> O IZVRŠENJU PRORAČUNA OSNOVNE ŠKOLE </w:t>
      </w:r>
      <w:r w:rsidR="00826F8E">
        <w:rPr>
          <w:b/>
          <w:sz w:val="28"/>
          <w:szCs w:val="28"/>
        </w:rPr>
        <w:t>„Braća Seljan“</w:t>
      </w:r>
    </w:p>
    <w:p w14:paraId="7E31462C" w14:textId="55858C0D" w:rsidR="007B1DE9" w:rsidRDefault="00096288">
      <w:pPr>
        <w:pStyle w:val="Bezproreda"/>
        <w:jc w:val="center"/>
      </w:pPr>
      <w:r>
        <w:rPr>
          <w:b/>
          <w:sz w:val="28"/>
          <w:szCs w:val="28"/>
        </w:rPr>
        <w:t>ZA RAZDOBLJE OD 01.01.202</w:t>
      </w:r>
      <w:r w:rsidR="00235C36">
        <w:rPr>
          <w:b/>
          <w:sz w:val="28"/>
          <w:szCs w:val="28"/>
        </w:rPr>
        <w:t>4</w:t>
      </w:r>
      <w:r>
        <w:rPr>
          <w:b/>
          <w:sz w:val="28"/>
          <w:szCs w:val="28"/>
        </w:rPr>
        <w:t>. DO 31.12.202</w:t>
      </w:r>
      <w:r w:rsidR="00235C36">
        <w:rPr>
          <w:b/>
          <w:sz w:val="28"/>
          <w:szCs w:val="28"/>
        </w:rPr>
        <w:t>4</w:t>
      </w:r>
      <w:r>
        <w:rPr>
          <w:b/>
          <w:sz w:val="28"/>
          <w:szCs w:val="28"/>
        </w:rPr>
        <w:t>.GODINE</w:t>
      </w:r>
    </w:p>
    <w:p w14:paraId="435DF614" w14:textId="77777777" w:rsidR="007B1DE9" w:rsidRDefault="007B1DE9">
      <w:pPr>
        <w:pStyle w:val="Bezproreda"/>
        <w:jc w:val="center"/>
        <w:rPr>
          <w:b/>
          <w:sz w:val="28"/>
          <w:szCs w:val="28"/>
        </w:rPr>
      </w:pPr>
    </w:p>
    <w:p w14:paraId="06B62CEB" w14:textId="77777777" w:rsidR="007B1DE9" w:rsidRDefault="007B1DE9">
      <w:pPr>
        <w:pStyle w:val="Bezproreda"/>
        <w:jc w:val="center"/>
        <w:rPr>
          <w:b/>
          <w:sz w:val="28"/>
          <w:szCs w:val="28"/>
        </w:rPr>
      </w:pPr>
    </w:p>
    <w:p w14:paraId="15E5EA12" w14:textId="77777777" w:rsidR="007B1DE9" w:rsidRDefault="007B1DE9">
      <w:pPr>
        <w:pStyle w:val="Bezproreda"/>
        <w:jc w:val="center"/>
        <w:rPr>
          <w:b/>
          <w:sz w:val="28"/>
          <w:szCs w:val="28"/>
        </w:rPr>
      </w:pPr>
    </w:p>
    <w:p w14:paraId="30517EF2" w14:textId="77777777" w:rsidR="007B1DE9" w:rsidRDefault="007B1DE9">
      <w:pPr>
        <w:pStyle w:val="Bezproreda"/>
        <w:jc w:val="center"/>
        <w:rPr>
          <w:b/>
          <w:sz w:val="28"/>
          <w:szCs w:val="28"/>
        </w:rPr>
      </w:pPr>
    </w:p>
    <w:p w14:paraId="417FCB8D" w14:textId="77777777" w:rsidR="007B1DE9" w:rsidRDefault="007B1DE9">
      <w:pPr>
        <w:pStyle w:val="Bezproreda"/>
        <w:jc w:val="center"/>
        <w:rPr>
          <w:b/>
          <w:sz w:val="28"/>
          <w:szCs w:val="28"/>
        </w:rPr>
      </w:pPr>
    </w:p>
    <w:p w14:paraId="5EB0BE8E" w14:textId="77777777" w:rsidR="007B1DE9" w:rsidRDefault="007B1DE9">
      <w:pPr>
        <w:pStyle w:val="Bezproreda"/>
        <w:jc w:val="center"/>
        <w:rPr>
          <w:b/>
          <w:sz w:val="28"/>
          <w:szCs w:val="28"/>
        </w:rPr>
      </w:pPr>
    </w:p>
    <w:p w14:paraId="3D8B41BA" w14:textId="77777777" w:rsidR="007B1DE9" w:rsidRDefault="007B1DE9">
      <w:pPr>
        <w:pStyle w:val="Bezproreda"/>
        <w:jc w:val="center"/>
        <w:rPr>
          <w:b/>
          <w:sz w:val="28"/>
          <w:szCs w:val="28"/>
        </w:rPr>
      </w:pPr>
    </w:p>
    <w:p w14:paraId="226544E1" w14:textId="77777777" w:rsidR="007B1DE9" w:rsidRDefault="007B1DE9">
      <w:pPr>
        <w:pStyle w:val="Bezproreda"/>
        <w:jc w:val="center"/>
        <w:rPr>
          <w:b/>
          <w:sz w:val="28"/>
          <w:szCs w:val="28"/>
        </w:rPr>
      </w:pPr>
    </w:p>
    <w:p w14:paraId="22102A15" w14:textId="77777777" w:rsidR="007B1DE9" w:rsidRDefault="007B1DE9">
      <w:pPr>
        <w:pStyle w:val="Bezproreda"/>
        <w:jc w:val="center"/>
        <w:rPr>
          <w:b/>
          <w:sz w:val="28"/>
          <w:szCs w:val="28"/>
        </w:rPr>
      </w:pPr>
    </w:p>
    <w:p w14:paraId="612B1FE6" w14:textId="77777777" w:rsidR="007B1DE9" w:rsidRDefault="007B1DE9">
      <w:pPr>
        <w:pStyle w:val="Bezproreda"/>
        <w:jc w:val="center"/>
        <w:rPr>
          <w:b/>
          <w:sz w:val="28"/>
          <w:szCs w:val="28"/>
        </w:rPr>
      </w:pPr>
    </w:p>
    <w:p w14:paraId="4E73A434" w14:textId="77777777" w:rsidR="007B1DE9" w:rsidRDefault="007B1DE9">
      <w:pPr>
        <w:pStyle w:val="Bezproreda"/>
        <w:jc w:val="center"/>
        <w:rPr>
          <w:b/>
          <w:sz w:val="28"/>
          <w:szCs w:val="28"/>
        </w:rPr>
      </w:pPr>
    </w:p>
    <w:p w14:paraId="456F3D13" w14:textId="77777777" w:rsidR="007B1DE9" w:rsidRDefault="007B1DE9">
      <w:pPr>
        <w:pStyle w:val="Bezproreda"/>
        <w:jc w:val="center"/>
        <w:rPr>
          <w:b/>
          <w:sz w:val="28"/>
          <w:szCs w:val="28"/>
        </w:rPr>
      </w:pPr>
    </w:p>
    <w:p w14:paraId="5786E81A" w14:textId="77777777" w:rsidR="007B1DE9" w:rsidRDefault="007B1DE9">
      <w:pPr>
        <w:pStyle w:val="Bezproreda"/>
        <w:jc w:val="center"/>
        <w:rPr>
          <w:b/>
          <w:sz w:val="28"/>
          <w:szCs w:val="28"/>
        </w:rPr>
      </w:pPr>
    </w:p>
    <w:p w14:paraId="6D83245B" w14:textId="77777777" w:rsidR="007B1DE9" w:rsidRDefault="007B1DE9">
      <w:pPr>
        <w:pStyle w:val="Bezproreda"/>
        <w:jc w:val="center"/>
        <w:rPr>
          <w:b/>
          <w:sz w:val="28"/>
          <w:szCs w:val="28"/>
        </w:rPr>
      </w:pPr>
    </w:p>
    <w:p w14:paraId="5B169B03" w14:textId="77777777" w:rsidR="007B1DE9" w:rsidRDefault="007B1DE9">
      <w:pPr>
        <w:pStyle w:val="Bezproreda"/>
        <w:jc w:val="center"/>
        <w:rPr>
          <w:b/>
          <w:sz w:val="28"/>
          <w:szCs w:val="28"/>
        </w:rPr>
      </w:pPr>
    </w:p>
    <w:p w14:paraId="0D45A7EC" w14:textId="77777777" w:rsidR="007B1DE9" w:rsidRDefault="007B1DE9">
      <w:pPr>
        <w:pStyle w:val="Bezproreda"/>
        <w:jc w:val="center"/>
        <w:rPr>
          <w:b/>
          <w:sz w:val="28"/>
          <w:szCs w:val="28"/>
        </w:rPr>
      </w:pPr>
    </w:p>
    <w:p w14:paraId="4447B671" w14:textId="77777777" w:rsidR="007B1DE9" w:rsidRDefault="007B1DE9">
      <w:pPr>
        <w:pStyle w:val="Bezproreda"/>
        <w:jc w:val="center"/>
        <w:rPr>
          <w:b/>
          <w:sz w:val="28"/>
          <w:szCs w:val="28"/>
        </w:rPr>
      </w:pPr>
    </w:p>
    <w:p w14:paraId="6EFDE95E" w14:textId="77777777" w:rsidR="007B1DE9" w:rsidRDefault="007B1DE9">
      <w:pPr>
        <w:pStyle w:val="Bezproreda"/>
        <w:rPr>
          <w:sz w:val="24"/>
          <w:szCs w:val="24"/>
        </w:rPr>
      </w:pPr>
    </w:p>
    <w:p w14:paraId="1DEEBB34" w14:textId="77777777" w:rsidR="007B1DE9" w:rsidRDefault="007B1DE9">
      <w:pPr>
        <w:pStyle w:val="Bezproreda"/>
        <w:jc w:val="center"/>
        <w:rPr>
          <w:b/>
        </w:rPr>
      </w:pPr>
    </w:p>
    <w:p w14:paraId="39EF1BEA" w14:textId="77777777" w:rsidR="004343ED" w:rsidRDefault="004343ED">
      <w:pPr>
        <w:pStyle w:val="Bezproreda"/>
      </w:pPr>
    </w:p>
    <w:p w14:paraId="3F16C15C" w14:textId="77777777" w:rsidR="004343ED" w:rsidRDefault="004343ED">
      <w:pPr>
        <w:pStyle w:val="Bezproreda"/>
      </w:pPr>
    </w:p>
    <w:p w14:paraId="3D227292" w14:textId="77777777" w:rsidR="004343ED" w:rsidRDefault="004343ED">
      <w:pPr>
        <w:pStyle w:val="Bezproreda"/>
      </w:pPr>
    </w:p>
    <w:p w14:paraId="6A907DB3" w14:textId="6704C5BB" w:rsidR="007B1DE9" w:rsidRDefault="00096288">
      <w:pPr>
        <w:pStyle w:val="Bezproreda"/>
      </w:pPr>
      <w:r>
        <w:t>Obveza izrade polugodišnjeg i godišnjeg izvještaja o izvršenju financijskog plana proračunskih korisnika čl.76. Stavak 3. i  čl. 81 stavak 3. Zakona o proračunu NN 144/2021 ( 27.12.2021.)  čl. 4. Pravilnika o polugodišnjem i godišnjem izvještaju o izvršenju proračuna i financijskog plana NN 85/2023 (24.7.2023.)</w:t>
      </w:r>
    </w:p>
    <w:p w14:paraId="443324A1" w14:textId="77777777" w:rsidR="007B1DE9" w:rsidRDefault="007B1DE9">
      <w:pPr>
        <w:pStyle w:val="Bezproreda"/>
      </w:pPr>
    </w:p>
    <w:p w14:paraId="7910FDD7" w14:textId="77777777" w:rsidR="007B1DE9" w:rsidRDefault="00096288">
      <w:pPr>
        <w:pStyle w:val="Bezproreda"/>
      </w:pPr>
      <w:r>
        <w:t>Godišnji izvještaj o izvršenju proračuna sadrži:</w:t>
      </w:r>
    </w:p>
    <w:p w14:paraId="1BE71AA4" w14:textId="77777777" w:rsidR="007B1DE9" w:rsidRDefault="007B1DE9">
      <w:pPr>
        <w:pStyle w:val="Bezproreda"/>
      </w:pPr>
    </w:p>
    <w:p w14:paraId="0BF5D109" w14:textId="16890156" w:rsidR="007B1DE9" w:rsidRDefault="00096288">
      <w:pPr>
        <w:pStyle w:val="Bezproreda"/>
      </w:pPr>
      <w:r>
        <w:t xml:space="preserve">      - opći dio </w:t>
      </w:r>
      <w:r w:rsidR="00DC2AC7">
        <w:t>G</w:t>
      </w:r>
      <w:r>
        <w:t>odišnjeg izvještaja o izvršenju proračuna</w:t>
      </w:r>
    </w:p>
    <w:p w14:paraId="7060F65F" w14:textId="58D54B2F" w:rsidR="007B1DE9" w:rsidRDefault="00096288">
      <w:pPr>
        <w:pStyle w:val="Bezproreda"/>
      </w:pPr>
      <w:r>
        <w:t xml:space="preserve">      - posebni dio </w:t>
      </w:r>
      <w:r w:rsidR="00DC2AC7">
        <w:t>G</w:t>
      </w:r>
      <w:r>
        <w:t>odišnjeg izvještaja o izvršenju proračuna</w:t>
      </w:r>
    </w:p>
    <w:p w14:paraId="52D88BE1" w14:textId="12DC10E3" w:rsidR="007B1DE9" w:rsidRDefault="00096288">
      <w:pPr>
        <w:pStyle w:val="Bezproreda"/>
      </w:pPr>
      <w:r>
        <w:t xml:space="preserve">      - obrazloženje </w:t>
      </w:r>
      <w:r w:rsidR="00DC2AC7">
        <w:t>G</w:t>
      </w:r>
      <w:r>
        <w:t>odišnjeg izvještaja o izvršenju proračuna</w:t>
      </w:r>
    </w:p>
    <w:p w14:paraId="587B09D5" w14:textId="057C5509" w:rsidR="007B1DE9" w:rsidRDefault="00096288">
      <w:pPr>
        <w:pStyle w:val="Bezproreda"/>
      </w:pPr>
      <w:r>
        <w:t xml:space="preserve">      - posebni izvještaj u </w:t>
      </w:r>
      <w:r w:rsidR="00C6307F">
        <w:t>G</w:t>
      </w:r>
      <w:r>
        <w:t>odišnjem izvještaju o izvršenju proračuna</w:t>
      </w:r>
    </w:p>
    <w:p w14:paraId="03351B15" w14:textId="77777777" w:rsidR="007B1DE9" w:rsidRDefault="007B1DE9">
      <w:pPr>
        <w:pStyle w:val="Bezproreda"/>
      </w:pPr>
    </w:p>
    <w:p w14:paraId="275C9AEB" w14:textId="77777777" w:rsidR="007B1DE9" w:rsidRDefault="007B1DE9">
      <w:pPr>
        <w:pStyle w:val="Bezproreda"/>
      </w:pPr>
    </w:p>
    <w:p w14:paraId="26AFFC3F" w14:textId="77777777" w:rsidR="007B1DE9" w:rsidRDefault="00096288">
      <w:pPr>
        <w:pStyle w:val="Bezproreda"/>
        <w:rPr>
          <w:b/>
          <w:bCs/>
        </w:rPr>
      </w:pPr>
      <w:r>
        <w:rPr>
          <w:b/>
          <w:bCs/>
        </w:rPr>
        <w:t xml:space="preserve">1. OPĆI DIO </w:t>
      </w:r>
      <w:bookmarkStart w:id="0" w:name="__DdeLink__145_1537164472"/>
      <w:r>
        <w:rPr>
          <w:b/>
          <w:bCs/>
        </w:rPr>
        <w:t>GODIŠNJEG IZVJEŠTAJA O IZVRŠENJU PRORAČUNA SADRŽI:</w:t>
      </w:r>
      <w:bookmarkEnd w:id="0"/>
    </w:p>
    <w:p w14:paraId="486CC352" w14:textId="77777777" w:rsidR="007B1DE9" w:rsidRDefault="007B1DE9">
      <w:pPr>
        <w:pStyle w:val="Bezproreda"/>
      </w:pPr>
    </w:p>
    <w:p w14:paraId="0F8DF0BE" w14:textId="77777777" w:rsidR="007B1DE9" w:rsidRDefault="00096288">
      <w:pPr>
        <w:pStyle w:val="Bezproreda"/>
      </w:pPr>
      <w:r>
        <w:t>- sažetak Računa prihoda i rashoda i Računa financiranja,</w:t>
      </w:r>
    </w:p>
    <w:p w14:paraId="5359553B" w14:textId="77777777" w:rsidR="007B1DE9" w:rsidRDefault="00096288">
      <w:pPr>
        <w:pStyle w:val="Bezproreda"/>
      </w:pPr>
      <w:r>
        <w:t>- Račun prihoda i rashoda,</w:t>
      </w:r>
    </w:p>
    <w:p w14:paraId="252798B8" w14:textId="77777777" w:rsidR="007B1DE9" w:rsidRDefault="00096288">
      <w:pPr>
        <w:pStyle w:val="Bezproreda"/>
      </w:pPr>
      <w:r>
        <w:t>- Račun financiranja</w:t>
      </w:r>
    </w:p>
    <w:p w14:paraId="7B1A8DFA" w14:textId="77777777" w:rsidR="007B1DE9" w:rsidRDefault="007B1DE9">
      <w:pPr>
        <w:pStyle w:val="Bezproreda"/>
      </w:pPr>
    </w:p>
    <w:p w14:paraId="44C5A66F" w14:textId="734C1D04" w:rsidR="007B1DE9" w:rsidRDefault="00096288">
      <w:pPr>
        <w:pStyle w:val="Bezproreda"/>
      </w:pPr>
      <w:r>
        <w:t>Obzirom da godišnji  izvještaj o izvršenju proračuna pokazuje jesu li sredstva utrošena sukladno donesenom financijskom planu proizlazi kako njegov sadržaj mora biti u skladu s podacima iskazanim u planu</w:t>
      </w:r>
      <w:r w:rsidR="00071A95">
        <w:t>,</w:t>
      </w:r>
      <w:r>
        <w:t xml:space="preserve"> posebice jer su podaci iz izvještaja o izvršenju financijskih planova proračunskog korisnika dio izvještaja o izvršenju JLP(R)S.</w:t>
      </w:r>
    </w:p>
    <w:p w14:paraId="6D8EB87A" w14:textId="77777777" w:rsidR="007B1DE9" w:rsidRDefault="007B1DE9">
      <w:pPr>
        <w:pStyle w:val="Bezproreda"/>
      </w:pPr>
    </w:p>
    <w:p w14:paraId="17481D74" w14:textId="2A23D165" w:rsidR="007B1DE9" w:rsidRDefault="00096288">
      <w:pPr>
        <w:pStyle w:val="Bezproreda"/>
      </w:pPr>
      <w:r>
        <w:t xml:space="preserve">Slijedom gore navedenog </w:t>
      </w:r>
      <w:r w:rsidR="00071A95">
        <w:t>I</w:t>
      </w:r>
      <w:r>
        <w:t xml:space="preserve">zvještaj o izvršenju financijskog plana Osnovne škole </w:t>
      </w:r>
      <w:r w:rsidR="004D2A8B">
        <w:t>„Braća Seljan“</w:t>
      </w:r>
    </w:p>
    <w:p w14:paraId="449EABCE" w14:textId="77777777" w:rsidR="007B1DE9" w:rsidRDefault="00096288">
      <w:pPr>
        <w:pStyle w:val="Bezproreda"/>
      </w:pPr>
      <w:r>
        <w:t>sastoji se od:</w:t>
      </w:r>
    </w:p>
    <w:p w14:paraId="1631CE50" w14:textId="77777777" w:rsidR="007B1DE9" w:rsidRDefault="007B1DE9">
      <w:pPr>
        <w:pStyle w:val="Bezproreda"/>
      </w:pPr>
    </w:p>
    <w:p w14:paraId="0FC489B0" w14:textId="77777777" w:rsidR="007B1DE9" w:rsidRDefault="00096288">
      <w:pPr>
        <w:pStyle w:val="Bezproreda"/>
        <w:numPr>
          <w:ilvl w:val="0"/>
          <w:numId w:val="1"/>
        </w:numPr>
      </w:pPr>
      <w:r>
        <w:t>Računa prihoda/primitaka, rashoda/izdataka</w:t>
      </w:r>
    </w:p>
    <w:p w14:paraId="01E2E861" w14:textId="42D19EE5" w:rsidR="007B1DE9" w:rsidRDefault="00096288">
      <w:pPr>
        <w:pStyle w:val="Bezproreda"/>
        <w:numPr>
          <w:ilvl w:val="0"/>
          <w:numId w:val="1"/>
        </w:numPr>
      </w:pPr>
      <w:r>
        <w:t>1. Izvršenje 202</w:t>
      </w:r>
      <w:r w:rsidR="00722199">
        <w:t>3.</w:t>
      </w:r>
      <w:r>
        <w:t xml:space="preserve"> </w:t>
      </w:r>
    </w:p>
    <w:p w14:paraId="78F970A1" w14:textId="16E764E8" w:rsidR="007B1DE9" w:rsidRDefault="00096288">
      <w:pPr>
        <w:pStyle w:val="Bezproreda"/>
        <w:numPr>
          <w:ilvl w:val="0"/>
          <w:numId w:val="1"/>
        </w:numPr>
      </w:pPr>
      <w:r>
        <w:t>2. Izvorni plan 202</w:t>
      </w:r>
      <w:r w:rsidR="00722199">
        <w:t>4</w:t>
      </w:r>
      <w:r>
        <w:t>.</w:t>
      </w:r>
    </w:p>
    <w:p w14:paraId="1462D4D1" w14:textId="763A04A0" w:rsidR="007B1DE9" w:rsidRDefault="00096288">
      <w:pPr>
        <w:pStyle w:val="Bezproreda"/>
        <w:numPr>
          <w:ilvl w:val="0"/>
          <w:numId w:val="1"/>
        </w:numPr>
      </w:pPr>
      <w:r>
        <w:t>3.Tekući plan 202</w:t>
      </w:r>
      <w:r w:rsidR="00722199">
        <w:t>4</w:t>
      </w:r>
      <w:r>
        <w:t>.</w:t>
      </w:r>
    </w:p>
    <w:p w14:paraId="2E8B17F0" w14:textId="170EB652" w:rsidR="007B1DE9" w:rsidRDefault="00096288">
      <w:pPr>
        <w:pStyle w:val="Bezproreda"/>
        <w:numPr>
          <w:ilvl w:val="0"/>
          <w:numId w:val="1"/>
        </w:numPr>
      </w:pPr>
      <w:r>
        <w:t>4.Izvršenje 202</w:t>
      </w:r>
      <w:r w:rsidR="00722199">
        <w:t>4</w:t>
      </w:r>
      <w:r>
        <w:t>.</w:t>
      </w:r>
    </w:p>
    <w:p w14:paraId="29222D01" w14:textId="77777777" w:rsidR="007B1DE9" w:rsidRDefault="00096288">
      <w:pPr>
        <w:pStyle w:val="Bezproreda"/>
        <w:numPr>
          <w:ilvl w:val="0"/>
          <w:numId w:val="1"/>
        </w:numPr>
      </w:pPr>
      <w:r>
        <w:t>indeks 4/1</w:t>
      </w:r>
    </w:p>
    <w:p w14:paraId="1F253889" w14:textId="77777777" w:rsidR="007B1DE9" w:rsidRDefault="00096288">
      <w:pPr>
        <w:pStyle w:val="Bezproreda"/>
        <w:numPr>
          <w:ilvl w:val="0"/>
          <w:numId w:val="1"/>
        </w:numPr>
      </w:pPr>
      <w:r>
        <w:t>indeks 4/3</w:t>
      </w:r>
    </w:p>
    <w:p w14:paraId="71F6A9F2" w14:textId="77777777" w:rsidR="007B1DE9" w:rsidRDefault="007B1DE9">
      <w:pPr>
        <w:pStyle w:val="Bezproreda"/>
      </w:pPr>
    </w:p>
    <w:p w14:paraId="777C0148" w14:textId="6FAEB361" w:rsidR="007B1DE9" w:rsidRDefault="00096288">
      <w:pPr>
        <w:pStyle w:val="Bezproreda"/>
      </w:pPr>
      <w:r>
        <w:t>U tablici</w:t>
      </w:r>
      <w:r w:rsidR="00722199">
        <w:t>,</w:t>
      </w:r>
      <w:r>
        <w:t xml:space="preserve"> kako je navedeno,  prikazani su ostvareni prihodi  na dan 31.12.202</w:t>
      </w:r>
      <w:r w:rsidR="00722199">
        <w:t>4</w:t>
      </w:r>
      <w:r>
        <w:t xml:space="preserve">. godine u iznosu </w:t>
      </w:r>
      <w:r w:rsidR="004D2A8B">
        <w:t>1.</w:t>
      </w:r>
      <w:r w:rsidR="00DC7D84">
        <w:t>666.438,88</w:t>
      </w:r>
      <w:r>
        <w:t xml:space="preserve"> </w:t>
      </w:r>
      <w:r>
        <w:rPr>
          <w:rFonts w:ascii="Liberation Serif" w:eastAsia="Liberation Serif" w:hAnsi="Liberation Serif" w:cs="Liberation Serif"/>
        </w:rPr>
        <w:t>€</w:t>
      </w:r>
      <w:r w:rsidR="00071A95">
        <w:rPr>
          <w:rFonts w:ascii="Liberation Serif" w:eastAsia="Liberation Serif" w:hAnsi="Liberation Serif" w:cs="Liberation Serif"/>
        </w:rPr>
        <w:t xml:space="preserve">, </w:t>
      </w:r>
      <w:r>
        <w:t>a ostvareni rashodi na dan 31.12.202</w:t>
      </w:r>
      <w:r w:rsidR="00722199">
        <w:t>4</w:t>
      </w:r>
      <w:r>
        <w:t xml:space="preserve">. godine iznose </w:t>
      </w:r>
      <w:r w:rsidR="004D2A8B">
        <w:t>1.</w:t>
      </w:r>
      <w:r w:rsidR="00DC7D84">
        <w:t>693.345,61</w:t>
      </w:r>
      <w:r>
        <w:t xml:space="preserve"> </w:t>
      </w:r>
      <w:r>
        <w:rPr>
          <w:rFonts w:ascii="Liberation Serif" w:eastAsia="Liberation Serif" w:hAnsi="Liberation Serif" w:cs="Liberation Serif"/>
        </w:rPr>
        <w:t>€</w:t>
      </w:r>
      <w:r>
        <w:rPr>
          <w:rFonts w:eastAsia="Calibri"/>
        </w:rPr>
        <w:t xml:space="preserve"> te je rezultat izvještajnog razdoblja manjak prihoda u iznosu </w:t>
      </w:r>
      <w:r>
        <w:t xml:space="preserve"> </w:t>
      </w:r>
      <w:r w:rsidR="00DC7D84">
        <w:t>26.906,73</w:t>
      </w:r>
      <w:r>
        <w:t xml:space="preserve"> </w:t>
      </w:r>
      <w:r>
        <w:rPr>
          <w:rFonts w:ascii="Liberation Serif" w:eastAsia="Liberation Serif" w:hAnsi="Liberation Serif" w:cs="Liberation Serif"/>
        </w:rPr>
        <w:t>€</w:t>
      </w:r>
    </w:p>
    <w:p w14:paraId="6B4A2123" w14:textId="310F283D" w:rsidR="007B1DE9" w:rsidRDefault="00096288">
      <w:pPr>
        <w:pStyle w:val="Bezproreda"/>
      </w:pPr>
      <w:r>
        <w:t>Planirani prihodi  za 202</w:t>
      </w:r>
      <w:r w:rsidR="00722199">
        <w:t>4</w:t>
      </w:r>
      <w:r>
        <w:t xml:space="preserve">. godinu iznose </w:t>
      </w:r>
      <w:r w:rsidR="004D2A8B">
        <w:t>1.</w:t>
      </w:r>
      <w:r w:rsidR="00DC7D84">
        <w:t>767.945,00</w:t>
      </w:r>
      <w:r>
        <w:t xml:space="preserve"> </w:t>
      </w:r>
      <w:r>
        <w:rPr>
          <w:rFonts w:ascii="Liberation Serif" w:eastAsia="Liberation Serif" w:hAnsi="Liberation Serif" w:cs="Liberation Serif"/>
        </w:rPr>
        <w:t>€</w:t>
      </w:r>
      <w:r>
        <w:t>, a planirani rashodi za 202</w:t>
      </w:r>
      <w:r w:rsidR="00722199">
        <w:t>4</w:t>
      </w:r>
      <w:r>
        <w:t xml:space="preserve">. godinu iznose </w:t>
      </w:r>
      <w:r w:rsidR="004D2A8B">
        <w:t>1.</w:t>
      </w:r>
      <w:r w:rsidR="00DC7D84">
        <w:t>767.945,00</w:t>
      </w:r>
      <w:r>
        <w:t xml:space="preserve"> </w:t>
      </w:r>
      <w:r>
        <w:rPr>
          <w:rFonts w:ascii="Liberation Serif" w:eastAsia="Liberation Serif" w:hAnsi="Liberation Serif" w:cs="Liberation Serif"/>
        </w:rPr>
        <w:t>€</w:t>
      </w:r>
      <w:r>
        <w:rPr>
          <w:rFonts w:eastAsia="Calibri"/>
        </w:rPr>
        <w:t>.</w:t>
      </w:r>
    </w:p>
    <w:p w14:paraId="15E630D5" w14:textId="7487E42E" w:rsidR="007B1DE9" w:rsidRDefault="00096288">
      <w:pPr>
        <w:pStyle w:val="Bezproreda"/>
      </w:pPr>
      <w:r>
        <w:rPr>
          <w:rFonts w:eastAsia="Calibri"/>
        </w:rPr>
        <w:t>Usporedbom tekućih podataka s podacima za isto razdoblje prošle proračunske godine vidljivi su veći ostvareni prihodi poslovanja ove godine</w:t>
      </w:r>
      <w:r w:rsidR="00071A95">
        <w:rPr>
          <w:rFonts w:eastAsia="Calibri"/>
        </w:rPr>
        <w:t>,</w:t>
      </w:r>
      <w:r>
        <w:rPr>
          <w:rFonts w:eastAsia="Calibri"/>
        </w:rPr>
        <w:t xml:space="preserve"> ali i veći ostvareni rashodi poslovanja.</w:t>
      </w:r>
    </w:p>
    <w:p w14:paraId="3AEC0B42" w14:textId="01738B5C" w:rsidR="007B1DE9" w:rsidRDefault="00096288">
      <w:pPr>
        <w:pStyle w:val="Bezproreda"/>
      </w:pPr>
      <w:r>
        <w:t>Godišnji izvještaj o izvršenju financijskog plana za 202</w:t>
      </w:r>
      <w:r w:rsidR="00722199">
        <w:t>4</w:t>
      </w:r>
      <w:r>
        <w:t xml:space="preserve">. godinu Osnovne škole </w:t>
      </w:r>
      <w:r w:rsidR="004D2A8B">
        <w:t>„Braća Seljan“</w:t>
      </w:r>
      <w:r>
        <w:t xml:space="preserve"> pokazuje da su sredstva utrošena u skladu s podacima iskazanim u planu.</w:t>
      </w:r>
    </w:p>
    <w:p w14:paraId="0C78BF71" w14:textId="77777777" w:rsidR="007B1DE9" w:rsidRDefault="007B1DE9">
      <w:pPr>
        <w:pStyle w:val="Bezproreda"/>
      </w:pPr>
    </w:p>
    <w:p w14:paraId="0F550B13" w14:textId="77777777" w:rsidR="007B1DE9" w:rsidRDefault="007B1DE9">
      <w:pPr>
        <w:pStyle w:val="Bezproreda"/>
      </w:pPr>
    </w:p>
    <w:p w14:paraId="4C969425" w14:textId="77360DE0" w:rsidR="007B1DE9" w:rsidRDefault="007B1DE9">
      <w:pPr>
        <w:pStyle w:val="Bezproreda"/>
      </w:pPr>
    </w:p>
    <w:p w14:paraId="6FBF524B" w14:textId="77777777" w:rsidR="00F10D7B" w:rsidRDefault="00F10D7B">
      <w:pPr>
        <w:pStyle w:val="Bezproreda"/>
      </w:pPr>
    </w:p>
    <w:p w14:paraId="47BE2AC7" w14:textId="77777777" w:rsidR="007B1DE9" w:rsidRDefault="007B1DE9">
      <w:pPr>
        <w:pStyle w:val="Bezproreda"/>
      </w:pPr>
    </w:p>
    <w:p w14:paraId="657BFE3D" w14:textId="77777777" w:rsidR="007B1DE9" w:rsidRDefault="007B1DE9">
      <w:pPr>
        <w:pStyle w:val="Bezproreda"/>
      </w:pPr>
    </w:p>
    <w:p w14:paraId="6FD250CA" w14:textId="77777777" w:rsidR="004343ED" w:rsidRDefault="004343ED">
      <w:pPr>
        <w:pStyle w:val="Bezproreda"/>
        <w:rPr>
          <w:b/>
          <w:bCs/>
        </w:rPr>
      </w:pPr>
    </w:p>
    <w:p w14:paraId="1B7533B7" w14:textId="77777777" w:rsidR="004343ED" w:rsidRDefault="004343ED">
      <w:pPr>
        <w:pStyle w:val="Bezproreda"/>
        <w:rPr>
          <w:b/>
          <w:bCs/>
        </w:rPr>
      </w:pPr>
    </w:p>
    <w:p w14:paraId="0FA91B13" w14:textId="77777777" w:rsidR="004343ED" w:rsidRDefault="004343ED">
      <w:pPr>
        <w:pStyle w:val="Bezproreda"/>
        <w:rPr>
          <w:b/>
          <w:bCs/>
        </w:rPr>
      </w:pPr>
    </w:p>
    <w:p w14:paraId="0BED3F7F" w14:textId="77777777" w:rsidR="004343ED" w:rsidRDefault="004343ED">
      <w:pPr>
        <w:pStyle w:val="Bezproreda"/>
        <w:rPr>
          <w:b/>
          <w:bCs/>
        </w:rPr>
      </w:pPr>
    </w:p>
    <w:p w14:paraId="75728E0F" w14:textId="658073F4" w:rsidR="007B1DE9" w:rsidRDefault="00096288">
      <w:pPr>
        <w:pStyle w:val="Bezproreda"/>
      </w:pPr>
      <w:r>
        <w:rPr>
          <w:b/>
          <w:bCs/>
        </w:rPr>
        <w:t xml:space="preserve">Prihodi i rashodi prema ekonomskoj klasifikaciji  </w:t>
      </w:r>
    </w:p>
    <w:p w14:paraId="46C0CDDC" w14:textId="77777777" w:rsidR="007B1DE9" w:rsidRDefault="00096288">
      <w:pPr>
        <w:pStyle w:val="Bezproreda"/>
      </w:pPr>
      <w:r>
        <w:t>U tablici su prikazani prihodi poslovanja, rashodi poslovanja i rashodi za nabavu nefinancijske imovine.</w:t>
      </w:r>
    </w:p>
    <w:p w14:paraId="6DA646DD" w14:textId="77777777" w:rsidR="007B1DE9" w:rsidRDefault="00096288">
      <w:pPr>
        <w:pStyle w:val="Bezproreda"/>
      </w:pPr>
      <w:r>
        <w:t>Podaci u ovoj tabeli sadrže istu razradu kao i u prethodnom izvještaju samo puno detaljnije prema Računskom planu proračunskog korisnika odnosno sa nazivima konta prihoda i rashoda.</w:t>
      </w:r>
    </w:p>
    <w:p w14:paraId="1EF9733D" w14:textId="77777777" w:rsidR="007B1DE9" w:rsidRDefault="00096288">
      <w:pPr>
        <w:pStyle w:val="Bezproreda"/>
      </w:pPr>
      <w:r>
        <w:t>Povećanje prihoda vidljivo je na tekućim pomoćima proračunskim korisnicima u odnosu na prethodnu godinu jer je došlo do povećanja plaća i materijalnih prava zaposlenih.</w:t>
      </w:r>
    </w:p>
    <w:p w14:paraId="62C6B4D0" w14:textId="77777777" w:rsidR="007B1DE9" w:rsidRDefault="00096288">
      <w:pPr>
        <w:pStyle w:val="Bezproreda"/>
      </w:pPr>
      <w:r>
        <w:t xml:space="preserve">Prihodi po posebnim propisima smanjeni su u odnosu na prethodnu godinu jer roditelji više ne sufinanciranju prehranu učenika. </w:t>
      </w:r>
    </w:p>
    <w:p w14:paraId="7C137E9A" w14:textId="77777777" w:rsidR="007B1DE9" w:rsidRDefault="00096288">
      <w:pPr>
        <w:pStyle w:val="Bezproreda"/>
      </w:pPr>
      <w:r>
        <w:t xml:space="preserve">Rashodi poslovanja dijele se na: </w:t>
      </w:r>
    </w:p>
    <w:p w14:paraId="12ECE17E" w14:textId="50BE1EC3" w:rsidR="007B1DE9" w:rsidRDefault="00096288">
      <w:pPr>
        <w:pStyle w:val="Bezproreda"/>
      </w:pPr>
      <w:r>
        <w:t xml:space="preserve">Rashodi za zaposlene 31-                     </w:t>
      </w:r>
      <w:r w:rsidR="00071A95">
        <w:t xml:space="preserve">  </w:t>
      </w:r>
      <w:r>
        <w:t xml:space="preserve"> </w:t>
      </w:r>
      <w:r w:rsidR="00014F1D">
        <w:tab/>
      </w:r>
      <w:r w:rsidR="00014F1D">
        <w:tab/>
        <w:t>1.2</w:t>
      </w:r>
      <w:r w:rsidR="00DC7D84">
        <w:t>72.064,50</w:t>
      </w:r>
      <w:r>
        <w:t xml:space="preserve"> </w:t>
      </w:r>
      <w:r>
        <w:rPr>
          <w:rFonts w:ascii="Liberation Serif" w:eastAsia="Liberation Serif" w:hAnsi="Liberation Serif" w:cs="Liberation Serif"/>
        </w:rPr>
        <w:t>€</w:t>
      </w:r>
    </w:p>
    <w:p w14:paraId="462B4BDE" w14:textId="41872319" w:rsidR="007B1DE9" w:rsidRDefault="00096288">
      <w:pPr>
        <w:pStyle w:val="Bezproreda"/>
        <w:rPr>
          <w:rFonts w:ascii="Liberation Serif" w:eastAsia="Liberation Serif" w:hAnsi="Liberation Serif" w:cs="Liberation Serif"/>
        </w:rPr>
      </w:pPr>
      <w:r>
        <w:t xml:space="preserve">Materijalne rashode   32-                      </w:t>
      </w:r>
      <w:r w:rsidR="00071A95">
        <w:t xml:space="preserve">  </w:t>
      </w:r>
      <w:r w:rsidR="00014F1D">
        <w:tab/>
      </w:r>
      <w:r w:rsidR="00014F1D">
        <w:tab/>
        <w:t xml:space="preserve">   2</w:t>
      </w:r>
      <w:r w:rsidR="00DC7D84">
        <w:t>97.416,26</w:t>
      </w:r>
      <w:r>
        <w:t xml:space="preserve"> </w:t>
      </w:r>
      <w:r>
        <w:rPr>
          <w:rFonts w:ascii="Liberation Serif" w:eastAsia="Liberation Serif" w:hAnsi="Liberation Serif" w:cs="Liberation Serif"/>
        </w:rPr>
        <w:t>€</w:t>
      </w:r>
    </w:p>
    <w:p w14:paraId="785A5B15" w14:textId="35484A93" w:rsidR="00DC7D84" w:rsidRDefault="00DC7D84">
      <w:pPr>
        <w:pStyle w:val="Bezproreda"/>
      </w:pPr>
      <w:r>
        <w:rPr>
          <w:rFonts w:ascii="Liberation Serif" w:eastAsia="Liberation Serif" w:hAnsi="Liberation Serif" w:cs="Liberation Serif"/>
        </w:rPr>
        <w:t>Financijski rashodi</w:t>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          514,57 €</w:t>
      </w:r>
    </w:p>
    <w:p w14:paraId="060A4C1C" w14:textId="4C3BEED3" w:rsidR="007B1DE9" w:rsidRDefault="00096288">
      <w:pPr>
        <w:pStyle w:val="Bezproreda"/>
      </w:pPr>
      <w:r>
        <w:t xml:space="preserve">Naknade građanima i kućanstvima 37-    </w:t>
      </w:r>
      <w:r w:rsidR="00014F1D">
        <w:tab/>
        <w:t xml:space="preserve">      </w:t>
      </w:r>
      <w:r w:rsidR="00DC7D84">
        <w:t>19.663,10</w:t>
      </w:r>
      <w:r>
        <w:t xml:space="preserve"> </w:t>
      </w:r>
      <w:r>
        <w:rPr>
          <w:rFonts w:ascii="Liberation Serif" w:eastAsia="Liberation Serif" w:hAnsi="Liberation Serif" w:cs="Liberation Serif"/>
        </w:rPr>
        <w:t>€</w:t>
      </w:r>
    </w:p>
    <w:p w14:paraId="54167416" w14:textId="12489A72" w:rsidR="007B1DE9" w:rsidRDefault="00096288">
      <w:pPr>
        <w:pStyle w:val="Bezproreda"/>
      </w:pPr>
      <w:r>
        <w:t xml:space="preserve">Ostali rashodi 38-                                             </w:t>
      </w:r>
      <w:r w:rsidR="00014F1D">
        <w:t xml:space="preserve">                    </w:t>
      </w:r>
      <w:r w:rsidR="00DC7D84">
        <w:t>745,04</w:t>
      </w:r>
      <w:r w:rsidR="00014F1D">
        <w:t xml:space="preserve"> €</w:t>
      </w:r>
    </w:p>
    <w:p w14:paraId="7C704662" w14:textId="3CDFE180" w:rsidR="007B1DE9" w:rsidRDefault="00096288">
      <w:pPr>
        <w:pStyle w:val="Bezproreda"/>
        <w:rPr>
          <w:rFonts w:ascii="Liberation Serif" w:eastAsia="Liberation Serif" w:hAnsi="Liberation Serif" w:cs="Liberation Serif"/>
        </w:rPr>
      </w:pPr>
      <w:r>
        <w:t>Rashodi za nabavu nefinan</w:t>
      </w:r>
      <w:r w:rsidR="00AE2104">
        <w:t>c</w:t>
      </w:r>
      <w:r w:rsidR="00756415">
        <w:t xml:space="preserve">ijske </w:t>
      </w:r>
      <w:r>
        <w:t xml:space="preserve">imovine 42- </w:t>
      </w:r>
      <w:r w:rsidR="00014F1D">
        <w:t xml:space="preserve">          </w:t>
      </w:r>
      <w:r w:rsidR="00DC7D84">
        <w:t>42.942,14</w:t>
      </w:r>
      <w:r>
        <w:t xml:space="preserve"> </w:t>
      </w:r>
      <w:r>
        <w:rPr>
          <w:rFonts w:ascii="Liberation Serif" w:eastAsia="Liberation Serif" w:hAnsi="Liberation Serif" w:cs="Liberation Serif"/>
        </w:rPr>
        <w:t>€</w:t>
      </w:r>
    </w:p>
    <w:p w14:paraId="73DABB85" w14:textId="266A5CA1" w:rsidR="00DC7D84" w:rsidRDefault="00DC7D84">
      <w:pPr>
        <w:pStyle w:val="Bezproreda"/>
      </w:pPr>
      <w:r>
        <w:rPr>
          <w:rFonts w:ascii="Liberation Serif" w:eastAsia="Liberation Serif" w:hAnsi="Liberation Serif" w:cs="Liberation Serif"/>
        </w:rPr>
        <w:t xml:space="preserve">Rashodi za dodatna ulaganja na </w:t>
      </w:r>
      <w:proofErr w:type="spellStart"/>
      <w:r>
        <w:rPr>
          <w:rFonts w:ascii="Liberation Serif" w:eastAsia="Liberation Serif" w:hAnsi="Liberation Serif" w:cs="Liberation Serif"/>
        </w:rPr>
        <w:t>nefinan</w:t>
      </w:r>
      <w:r w:rsidR="00C36AD1">
        <w:rPr>
          <w:rFonts w:ascii="Liberation Serif" w:eastAsia="Liberation Serif" w:hAnsi="Liberation Serif" w:cs="Liberation Serif"/>
        </w:rPr>
        <w:t>c</w:t>
      </w:r>
      <w:proofErr w:type="spellEnd"/>
      <w:r>
        <w:rPr>
          <w:rFonts w:ascii="Liberation Serif" w:eastAsia="Liberation Serif" w:hAnsi="Liberation Serif" w:cs="Liberation Serif"/>
        </w:rPr>
        <w:t>. imovini   60.000,00 €</w:t>
      </w:r>
    </w:p>
    <w:p w14:paraId="7A4907FF" w14:textId="77777777" w:rsidR="007B1DE9" w:rsidRDefault="007B1DE9">
      <w:pPr>
        <w:pStyle w:val="Bezproreda"/>
        <w:rPr>
          <w:rFonts w:ascii="Liberation Serif" w:eastAsia="Liberation Serif" w:hAnsi="Liberation Serif" w:cs="Liberation Serif"/>
        </w:rPr>
      </w:pPr>
    </w:p>
    <w:p w14:paraId="5EC4BF24" w14:textId="0CA40F1B" w:rsidR="007B1DE9" w:rsidRDefault="00096288">
      <w:pPr>
        <w:pStyle w:val="Bezproreda"/>
      </w:pPr>
      <w:r>
        <w:t xml:space="preserve">Kod 31 – </w:t>
      </w:r>
      <w:r w:rsidR="000E4ED2">
        <w:t>R</w:t>
      </w:r>
      <w:r>
        <w:t>ashod</w:t>
      </w:r>
      <w:r w:rsidR="00E13E54">
        <w:t>i</w:t>
      </w:r>
      <w:r>
        <w:t xml:space="preserve"> za zaposlene </w:t>
      </w:r>
      <w:r w:rsidR="00E13E54">
        <w:t xml:space="preserve">- </w:t>
      </w:r>
      <w:r>
        <w:t>dolazi do povećanja u odnosu na prethodnu godinu jer su povećane plaće u javnim službama prema Kolektivnom ugovoru i Sporazumu Vlade i Sindikata javnih službi te Sindikata učitelja</w:t>
      </w:r>
      <w:r w:rsidR="002061DF">
        <w:t>.</w:t>
      </w:r>
    </w:p>
    <w:p w14:paraId="3CE5AB82" w14:textId="77777777" w:rsidR="007B1DE9" w:rsidRDefault="007B1DE9">
      <w:pPr>
        <w:pStyle w:val="Bezproreda"/>
      </w:pPr>
    </w:p>
    <w:p w14:paraId="51F1757D" w14:textId="2CBF4FB0" w:rsidR="007B1DE9" w:rsidRDefault="00096288">
      <w:pPr>
        <w:pStyle w:val="Bezproreda"/>
      </w:pPr>
      <w:r>
        <w:t>Kod 32</w:t>
      </w:r>
      <w:r w:rsidR="000E4ED2">
        <w:t xml:space="preserve"> </w:t>
      </w:r>
      <w:r>
        <w:t>- Materijalni rashod</w:t>
      </w:r>
      <w:r w:rsidR="00E13E54">
        <w:t xml:space="preserve">i - </w:t>
      </w:r>
      <w:r>
        <w:t xml:space="preserve"> dolazi do povećanja u odnosu na prethodnu godinu i to na:</w:t>
      </w:r>
    </w:p>
    <w:p w14:paraId="37351F64" w14:textId="0A6D69CB" w:rsidR="007B1DE9" w:rsidRDefault="00096288">
      <w:pPr>
        <w:pStyle w:val="Bezproreda"/>
      </w:pPr>
      <w:r>
        <w:t>32-</w:t>
      </w:r>
      <w:r w:rsidR="00C43E83">
        <w:t>Rashodi za materijal i energiju</w:t>
      </w:r>
      <w:r>
        <w:t xml:space="preserve"> </w:t>
      </w:r>
      <w:r w:rsidR="00C36AD1">
        <w:t xml:space="preserve">te rashodi za usluge </w:t>
      </w:r>
      <w:r>
        <w:t xml:space="preserve">– </w:t>
      </w:r>
      <w:r w:rsidR="00C43E83">
        <w:t xml:space="preserve">Kako je OŠ </w:t>
      </w:r>
      <w:proofErr w:type="spellStart"/>
      <w:r w:rsidR="00C43E83">
        <w:t>Dragojle</w:t>
      </w:r>
      <w:proofErr w:type="spellEnd"/>
      <w:r w:rsidR="00C43E83">
        <w:t xml:space="preserve"> </w:t>
      </w:r>
      <w:proofErr w:type="spellStart"/>
      <w:r w:rsidR="00C43E83">
        <w:t>Jarnević</w:t>
      </w:r>
      <w:proofErr w:type="spellEnd"/>
      <w:r w:rsidR="00C43E83">
        <w:t xml:space="preserve"> privremeno smještena u prostor OŠ „Braća Seljan“ a škola ima nastavu u dvije smjene tako su porasli troškovi za energiju,</w:t>
      </w:r>
      <w:r w:rsidR="00C43E83" w:rsidRPr="00C43E83">
        <w:t xml:space="preserve"> </w:t>
      </w:r>
      <w:r w:rsidR="00C43E83">
        <w:t xml:space="preserve">troškovi komunalnih usluga, </w:t>
      </w:r>
      <w:r>
        <w:t xml:space="preserve"> troškovi usluga tekućeg i investicijskog održavanja</w:t>
      </w:r>
      <w:r w:rsidR="00C43E83">
        <w:t xml:space="preserve"> kako bi se unajmljeni prostor prilagodio potrebama učenika i nastavnika,</w:t>
      </w:r>
      <w:r w:rsidR="00071A95">
        <w:t xml:space="preserve"> </w:t>
      </w:r>
      <w:bookmarkStart w:id="1" w:name="_Hlk193184179"/>
      <w:r>
        <w:t xml:space="preserve">troškovi komunalnih usluga, </w:t>
      </w:r>
      <w:bookmarkEnd w:id="1"/>
      <w:r>
        <w:t>troškovi računalnih usluga i svi ostali nespomenuti troškovi</w:t>
      </w:r>
      <w:r w:rsidR="00C43E83">
        <w:t xml:space="preserve"> koji su povećani iz razloga povećanja cijena općenito.</w:t>
      </w:r>
    </w:p>
    <w:p w14:paraId="22803C0F" w14:textId="2C8CBE7A" w:rsidR="00C36AD1" w:rsidRDefault="00C36AD1">
      <w:pPr>
        <w:pStyle w:val="Bezproreda"/>
      </w:pPr>
    </w:p>
    <w:p w14:paraId="2E741C8C" w14:textId="04E189DB" w:rsidR="00C36AD1" w:rsidRDefault="00C36AD1">
      <w:pPr>
        <w:pStyle w:val="Bezproreda"/>
      </w:pPr>
      <w:r>
        <w:t>Kod 34 – Financijski rashodi - U 2024. godini isplaćene su zadnje dvije isplate plaće po sudskim tužbama iz 2021. godine  te se navedeni rashod odnosi na isplaćene kamate.</w:t>
      </w:r>
    </w:p>
    <w:p w14:paraId="0C021726" w14:textId="77777777" w:rsidR="007B1DE9" w:rsidRDefault="007B1DE9">
      <w:pPr>
        <w:pStyle w:val="Bezproreda"/>
      </w:pPr>
    </w:p>
    <w:p w14:paraId="4CB6E396" w14:textId="77777777" w:rsidR="007B1DE9" w:rsidRDefault="007B1DE9">
      <w:pPr>
        <w:pStyle w:val="Bezproreda"/>
      </w:pPr>
    </w:p>
    <w:p w14:paraId="1F45DBF8" w14:textId="41418A8F" w:rsidR="007B1DE9" w:rsidRDefault="00096288">
      <w:pPr>
        <w:pStyle w:val="Bezproreda"/>
      </w:pPr>
      <w:r>
        <w:t>Kod 37</w:t>
      </w:r>
      <w:r w:rsidR="00E13E54">
        <w:t xml:space="preserve"> </w:t>
      </w:r>
      <w:r>
        <w:t>-</w:t>
      </w:r>
      <w:r w:rsidR="00E13E54">
        <w:t xml:space="preserve"> </w:t>
      </w:r>
      <w:r>
        <w:t xml:space="preserve">Naknade građanima i kućanstvima na temelju osiguranja i druge naknade </w:t>
      </w:r>
      <w:r w:rsidR="00E13E54">
        <w:t xml:space="preserve">– dolazi do </w:t>
      </w:r>
      <w:r w:rsidR="00C36AD1">
        <w:t>smanjenja</w:t>
      </w:r>
      <w:r>
        <w:t xml:space="preserve"> u odnosu na prethodnu godinu- radni materijal za učenike</w:t>
      </w:r>
      <w:r w:rsidR="002061DF">
        <w:t xml:space="preserve"> te vlastiti prijevoz učenika posebnih razrednih odjela ( Članak 8 za učenike s teškoćama).</w:t>
      </w:r>
    </w:p>
    <w:p w14:paraId="561470D7" w14:textId="77777777" w:rsidR="007B1DE9" w:rsidRDefault="007B1DE9">
      <w:pPr>
        <w:pStyle w:val="Bezproreda"/>
      </w:pPr>
    </w:p>
    <w:p w14:paraId="6939C756" w14:textId="5CD6F360" w:rsidR="007B1DE9" w:rsidRDefault="00096288">
      <w:pPr>
        <w:pStyle w:val="Bezproreda"/>
      </w:pPr>
      <w:r>
        <w:t>Kod 38</w:t>
      </w:r>
      <w:r w:rsidR="00E13E54">
        <w:t xml:space="preserve"> </w:t>
      </w:r>
      <w:r>
        <w:t>- Ostali rashodi – to su sredstva za higijenske potrepštine učenika</w:t>
      </w:r>
    </w:p>
    <w:p w14:paraId="68A12946" w14:textId="77777777" w:rsidR="007B1DE9" w:rsidRDefault="007B1DE9">
      <w:pPr>
        <w:pStyle w:val="Bezproreda"/>
      </w:pPr>
    </w:p>
    <w:p w14:paraId="09B94603" w14:textId="1E0E4D49" w:rsidR="007B1DE9" w:rsidRDefault="00E13E54">
      <w:pPr>
        <w:pStyle w:val="Bezproreda"/>
      </w:pPr>
      <w:r>
        <w:t xml:space="preserve">Kod </w:t>
      </w:r>
      <w:r w:rsidR="00096288">
        <w:t>42- Rashodi za nabavu proizvedene dugotrajne imovine</w:t>
      </w:r>
      <w:r>
        <w:t xml:space="preserve"> - </w:t>
      </w:r>
      <w:r w:rsidR="00096288">
        <w:t xml:space="preserve"> </w:t>
      </w:r>
      <w:r w:rsidR="00C36AD1">
        <w:t>povećane</w:t>
      </w:r>
      <w:r w:rsidR="00096288">
        <w:t xml:space="preserve">  su u odnosu na isto razdoblje 202</w:t>
      </w:r>
      <w:r w:rsidR="00C36AD1">
        <w:t>3</w:t>
      </w:r>
      <w:r w:rsidR="00096288">
        <w:t>. godine.</w:t>
      </w:r>
      <w:r w:rsidR="00C36AD1">
        <w:t xml:space="preserve"> Uz nabavku postrojenja i opreme izrađen je i idejni projekt za izgradnju školske sportske dvorane.</w:t>
      </w:r>
    </w:p>
    <w:p w14:paraId="25B7B460" w14:textId="138F8BF6" w:rsidR="00C36AD1" w:rsidRDefault="00C36AD1">
      <w:pPr>
        <w:pStyle w:val="Bezproreda"/>
      </w:pPr>
    </w:p>
    <w:p w14:paraId="04F921FB" w14:textId="5970589D" w:rsidR="00C36AD1" w:rsidRDefault="00C36AD1">
      <w:pPr>
        <w:pStyle w:val="Bezproreda"/>
      </w:pPr>
      <w:r>
        <w:t>Kod 45 – Rashodi za dodatna ulaganja na nefinancijskoj imovini .</w:t>
      </w:r>
    </w:p>
    <w:p w14:paraId="46046DDB" w14:textId="1DF552CD" w:rsidR="00C36AD1" w:rsidRDefault="00B321CC">
      <w:pPr>
        <w:pStyle w:val="Bezproreda"/>
      </w:pPr>
      <w:r>
        <w:t xml:space="preserve">Radi se o unutarnjem uređenju stambeno-poslovnog prostora u ulici Vladimira Nazora 3 a kojeg privremeno koristi OŠ </w:t>
      </w:r>
      <w:proofErr w:type="spellStart"/>
      <w:r>
        <w:t>Dragojle</w:t>
      </w:r>
      <w:proofErr w:type="spellEnd"/>
      <w:r>
        <w:t xml:space="preserve"> </w:t>
      </w:r>
      <w:proofErr w:type="spellStart"/>
      <w:r>
        <w:t>Jarnević</w:t>
      </w:r>
      <w:proofErr w:type="spellEnd"/>
      <w:r>
        <w:t xml:space="preserve"> za pružanje usluga produženog boravka za svoje učenike.</w:t>
      </w:r>
    </w:p>
    <w:p w14:paraId="280BA54B" w14:textId="77777777" w:rsidR="00C36AD1" w:rsidRDefault="00C36AD1">
      <w:pPr>
        <w:pStyle w:val="Bezproreda"/>
      </w:pPr>
    </w:p>
    <w:p w14:paraId="23BFA3EE" w14:textId="77777777" w:rsidR="007B1DE9" w:rsidRDefault="007B1DE9">
      <w:pPr>
        <w:pStyle w:val="Bezproreda"/>
      </w:pPr>
    </w:p>
    <w:p w14:paraId="0A0095D7" w14:textId="77777777" w:rsidR="007B1DE9" w:rsidRPr="00BA6D2B" w:rsidRDefault="00096288">
      <w:pPr>
        <w:pStyle w:val="Bezproreda"/>
      </w:pPr>
      <w:r w:rsidRPr="00BA6D2B">
        <w:rPr>
          <w:b/>
          <w:bCs/>
        </w:rPr>
        <w:t>Prihodi i rashodi prema izvorima</w:t>
      </w:r>
    </w:p>
    <w:p w14:paraId="53810B4E" w14:textId="77777777" w:rsidR="007B1DE9" w:rsidRDefault="00096288">
      <w:pPr>
        <w:pStyle w:val="Bezproreda"/>
      </w:pPr>
      <w:r>
        <w:t>Tu su sadržani isti podaci kao i u prethodim tabelama samo razvrstani prema izvorima iz kojih dobivamo sredstva a to su:</w:t>
      </w:r>
    </w:p>
    <w:p w14:paraId="189BA401" w14:textId="39187C0E" w:rsidR="007B1DE9" w:rsidRDefault="00096288" w:rsidP="004E73AE">
      <w:pPr>
        <w:pStyle w:val="Bezproreda"/>
        <w:numPr>
          <w:ilvl w:val="1"/>
          <w:numId w:val="8"/>
        </w:numPr>
      </w:pPr>
      <w:r>
        <w:lastRenderedPageBreak/>
        <w:t>Opći prihodi i primici  - prihodi Grada Karlovca  (plaće</w:t>
      </w:r>
      <w:r w:rsidR="00804FFC">
        <w:t xml:space="preserve"> PB i</w:t>
      </w:r>
      <w:r>
        <w:t xml:space="preserve"> PUN i radni materijal)</w:t>
      </w:r>
    </w:p>
    <w:p w14:paraId="75BEF498" w14:textId="44529251" w:rsidR="004E73AE" w:rsidRDefault="004E73AE" w:rsidP="004E73AE">
      <w:pPr>
        <w:pStyle w:val="Bezproreda"/>
        <w:numPr>
          <w:ilvl w:val="1"/>
          <w:numId w:val="9"/>
        </w:numPr>
      </w:pPr>
      <w:r>
        <w:t>Vlastiti prihodi – PK  - prihodi od najma školskog prostora</w:t>
      </w:r>
    </w:p>
    <w:p w14:paraId="25EF66B9" w14:textId="11195540" w:rsidR="007B1DE9" w:rsidRDefault="00096288">
      <w:pPr>
        <w:pStyle w:val="Bezproreda"/>
      </w:pPr>
      <w:r>
        <w:t>4.7. Prihodi za posebne namjene – prihodi od roditelja za sufinanciranje terenske nastave učenika</w:t>
      </w:r>
      <w:r w:rsidR="004E73AE">
        <w:t xml:space="preserve"> te </w:t>
      </w:r>
      <w:r w:rsidR="00CB2A73">
        <w:t xml:space="preserve"> </w:t>
      </w:r>
      <w:r w:rsidR="00804FFC">
        <w:t xml:space="preserve">  </w:t>
      </w:r>
      <w:r w:rsidR="004E73AE">
        <w:t>prihodi roditelja za uslugu produženog boravka</w:t>
      </w:r>
    </w:p>
    <w:p w14:paraId="6C448F10" w14:textId="77777777" w:rsidR="007B1DE9" w:rsidRDefault="00096288">
      <w:pPr>
        <w:pStyle w:val="Bezproreda"/>
      </w:pPr>
      <w:r>
        <w:t>5.2. Pomoći iz državnog proračuna – ostalo (sredstva za dio plaće PUN)</w:t>
      </w:r>
    </w:p>
    <w:p w14:paraId="1D313A12" w14:textId="0B995F7C" w:rsidR="007B1DE9" w:rsidRDefault="00096288">
      <w:pPr>
        <w:pStyle w:val="Bezproreda"/>
      </w:pPr>
      <w:r>
        <w:t>5.4. Pomoći za DEC – prihodi za decentralizirane funkcije O</w:t>
      </w:r>
      <w:r w:rsidR="00804FFC">
        <w:t>Š</w:t>
      </w:r>
    </w:p>
    <w:p w14:paraId="6DB5C2CE" w14:textId="508FBB71" w:rsidR="00804FFC" w:rsidRDefault="00804FFC" w:rsidP="00804FFC">
      <w:pPr>
        <w:pStyle w:val="Bezproreda"/>
      </w:pPr>
      <w:r>
        <w:t>5.8. Pomoći temeljem prijenosa sredstava EU-PK (Shema školsko mlijeko)</w:t>
      </w:r>
    </w:p>
    <w:p w14:paraId="048D95B1" w14:textId="7D2A4EE1" w:rsidR="007B1DE9" w:rsidRDefault="00096288">
      <w:pPr>
        <w:pStyle w:val="Bezproreda"/>
      </w:pPr>
      <w:r>
        <w:t>5.9. Pomoći temeljem prijenosa EU sredstava – (dio sredstava za plaće PUN )</w:t>
      </w:r>
    </w:p>
    <w:p w14:paraId="433D7BA3" w14:textId="1966FCF7" w:rsidR="00804FFC" w:rsidRDefault="00804FFC">
      <w:pPr>
        <w:pStyle w:val="Bezproreda"/>
      </w:pPr>
      <w:r>
        <w:t>5.A. Pomoći iz županijskog proračuna - PK</w:t>
      </w:r>
    </w:p>
    <w:p w14:paraId="280BC3FA" w14:textId="4FB18507" w:rsidR="007B1DE9" w:rsidRDefault="00096288">
      <w:pPr>
        <w:pStyle w:val="Bezproreda"/>
      </w:pPr>
      <w:r>
        <w:t>5.B. Pomoći iz državnog proračuna – PK (</w:t>
      </w:r>
      <w:r w:rsidR="00804FFC">
        <w:t>ŽSV,</w:t>
      </w:r>
      <w:r>
        <w:t xml:space="preserve"> sudske tužbe</w:t>
      </w:r>
      <w:r w:rsidR="00804FFC">
        <w:t>, vlastiti prijevoz učenika…</w:t>
      </w:r>
      <w:r>
        <w:t>)</w:t>
      </w:r>
    </w:p>
    <w:p w14:paraId="666A0C15" w14:textId="77777777" w:rsidR="007B1DE9" w:rsidRDefault="00096288">
      <w:pPr>
        <w:pStyle w:val="Bezproreda"/>
      </w:pPr>
      <w:r>
        <w:t>5.T. Pomoći iz MZO za plaće zaposlenih OŠ</w:t>
      </w:r>
    </w:p>
    <w:p w14:paraId="0D5E7FA9" w14:textId="351888B7" w:rsidR="007B1DE9" w:rsidRDefault="00096288">
      <w:pPr>
        <w:pStyle w:val="Bezproreda"/>
      </w:pPr>
      <w:r>
        <w:t>6.5. Donacije</w:t>
      </w:r>
    </w:p>
    <w:p w14:paraId="0941A75B" w14:textId="0DAB08E0" w:rsidR="004E73AE" w:rsidRDefault="004E73AE">
      <w:pPr>
        <w:pStyle w:val="Bezproreda"/>
      </w:pPr>
      <w:r>
        <w:t>7.4. Prihodi od prodaje nefinancijske imovine-PK</w:t>
      </w:r>
    </w:p>
    <w:p w14:paraId="4F71D0CD" w14:textId="77777777" w:rsidR="004343ED" w:rsidRDefault="004343ED">
      <w:pPr>
        <w:pStyle w:val="Bezproreda"/>
      </w:pPr>
    </w:p>
    <w:p w14:paraId="082C0CBF" w14:textId="77777777" w:rsidR="004343ED" w:rsidRDefault="004343ED">
      <w:pPr>
        <w:pStyle w:val="Bezproreda"/>
      </w:pPr>
    </w:p>
    <w:p w14:paraId="78160138" w14:textId="4E27D693" w:rsidR="007B1DE9" w:rsidRDefault="003961DF">
      <w:pPr>
        <w:pStyle w:val="Bezproreda"/>
        <w:rPr>
          <w:b/>
          <w:bCs/>
        </w:rPr>
      </w:pPr>
      <w:r>
        <w:rPr>
          <w:b/>
          <w:bCs/>
        </w:rPr>
        <w:t>2</w:t>
      </w:r>
      <w:r w:rsidR="00096288">
        <w:rPr>
          <w:b/>
          <w:bCs/>
        </w:rPr>
        <w:t>. OBRAZLOŽENJE OPĆEG I POSEBNOG DIJELA</w:t>
      </w:r>
    </w:p>
    <w:p w14:paraId="7F39B34E" w14:textId="77777777" w:rsidR="007B1DE9" w:rsidRDefault="007B1DE9">
      <w:pPr>
        <w:pStyle w:val="Bezproreda"/>
      </w:pPr>
    </w:p>
    <w:p w14:paraId="63A0C22D" w14:textId="4466EB1F" w:rsidR="007B1DE9" w:rsidRDefault="00096288">
      <w:pPr>
        <w:pStyle w:val="Bezproreda"/>
      </w:pPr>
      <w:r>
        <w:t xml:space="preserve">Ukupni prihodi proračuna (skupina 6 i 7) ostvareni u izvještajnom razdoblju iznose  </w:t>
      </w:r>
      <w:r w:rsidR="00AF673A">
        <w:t>1.</w:t>
      </w:r>
      <w:r w:rsidR="00804FFC">
        <w:t>666.438,88</w:t>
      </w:r>
      <w:r>
        <w:t xml:space="preserve"> </w:t>
      </w:r>
      <w:r>
        <w:rPr>
          <w:rFonts w:ascii="Liberation Serif" w:eastAsia="Liberation Serif" w:hAnsi="Liberation Serif" w:cs="Liberation Serif"/>
        </w:rPr>
        <w:t>€</w:t>
      </w:r>
      <w:r w:rsidR="00DC2AC7">
        <w:rPr>
          <w:rFonts w:ascii="Liberation Serif" w:eastAsia="Liberation Serif" w:hAnsi="Liberation Serif" w:cs="Liberation Serif"/>
        </w:rPr>
        <w:t xml:space="preserve">, </w:t>
      </w:r>
      <w:r>
        <w:t xml:space="preserve"> što je za </w:t>
      </w:r>
      <w:r w:rsidR="00234B63">
        <w:t>28,99</w:t>
      </w:r>
      <w:r>
        <w:t xml:space="preserve"> % više u odnosu na ostvarenje prihoda za prošlogodišnje izvještajno razdoblje i čini 9</w:t>
      </w:r>
      <w:r w:rsidR="00804FFC">
        <w:t>4</w:t>
      </w:r>
      <w:r w:rsidR="00AF673A">
        <w:t>,</w:t>
      </w:r>
      <w:r w:rsidR="00804FFC">
        <w:t>26</w:t>
      </w:r>
      <w:r>
        <w:t xml:space="preserve"> % ostvarenja od godišnjeg plana</w:t>
      </w:r>
    </w:p>
    <w:p w14:paraId="29462884" w14:textId="77777777" w:rsidR="007B1DE9" w:rsidRDefault="00096288">
      <w:pPr>
        <w:spacing w:line="360" w:lineRule="auto"/>
        <w:rPr>
          <w:sz w:val="24"/>
          <w:szCs w:val="24"/>
        </w:rPr>
      </w:pPr>
      <w:r>
        <w:rPr>
          <w:sz w:val="24"/>
          <w:szCs w:val="24"/>
        </w:rPr>
        <w:t>Rekapitulacija prihoda po skupinama računa:</w:t>
      </w:r>
    </w:p>
    <w:tbl>
      <w:tblPr>
        <w:tblW w:w="10343" w:type="dxa"/>
        <w:tblInd w:w="-572" w:type="dxa"/>
        <w:tblLook w:val="04A0" w:firstRow="1" w:lastRow="0" w:firstColumn="1" w:lastColumn="0" w:noHBand="0" w:noVBand="1"/>
      </w:tblPr>
      <w:tblGrid>
        <w:gridCol w:w="953"/>
        <w:gridCol w:w="2437"/>
        <w:gridCol w:w="1560"/>
        <w:gridCol w:w="1553"/>
        <w:gridCol w:w="1558"/>
        <w:gridCol w:w="1132"/>
        <w:gridCol w:w="1150"/>
      </w:tblGrid>
      <w:tr w:rsidR="007B1DE9" w14:paraId="04948492" w14:textId="77777777" w:rsidTr="00071A95">
        <w:trPr>
          <w:trHeight w:val="1500"/>
        </w:trPr>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2693"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skupina konta</w:t>
            </w:r>
          </w:p>
        </w:tc>
        <w:tc>
          <w:tcPr>
            <w:tcW w:w="2437" w:type="dxa"/>
            <w:tcBorders>
              <w:top w:val="single" w:sz="4" w:space="0" w:color="000000"/>
              <w:bottom w:val="single" w:sz="4" w:space="0" w:color="000000"/>
              <w:right w:val="single" w:sz="4" w:space="0" w:color="000000"/>
            </w:tcBorders>
            <w:shd w:val="clear" w:color="auto" w:fill="auto"/>
            <w:vAlign w:val="center"/>
          </w:tcPr>
          <w:p w14:paraId="590D87FA"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Naziv konta prihoda</w:t>
            </w:r>
          </w:p>
        </w:tc>
        <w:tc>
          <w:tcPr>
            <w:tcW w:w="1560" w:type="dxa"/>
            <w:tcBorders>
              <w:top w:val="single" w:sz="4" w:space="0" w:color="000000"/>
              <w:bottom w:val="single" w:sz="4" w:space="0" w:color="000000"/>
              <w:right w:val="single" w:sz="4" w:space="0" w:color="000000"/>
            </w:tcBorders>
            <w:shd w:val="clear" w:color="auto" w:fill="auto"/>
            <w:vAlign w:val="center"/>
          </w:tcPr>
          <w:p w14:paraId="772672F6"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Izvršenje za izvještajno razdoblje prethodne godine</w:t>
            </w:r>
          </w:p>
        </w:tc>
        <w:tc>
          <w:tcPr>
            <w:tcW w:w="1553" w:type="dxa"/>
            <w:tcBorders>
              <w:top w:val="single" w:sz="4" w:space="0" w:color="000000"/>
              <w:bottom w:val="single" w:sz="4" w:space="0" w:color="000000"/>
              <w:right w:val="single" w:sz="4" w:space="0" w:color="000000"/>
            </w:tcBorders>
            <w:shd w:val="clear" w:color="auto" w:fill="auto"/>
            <w:vAlign w:val="center"/>
          </w:tcPr>
          <w:p w14:paraId="19152BD9"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Tekući  plan</w:t>
            </w:r>
          </w:p>
        </w:tc>
        <w:tc>
          <w:tcPr>
            <w:tcW w:w="1558" w:type="dxa"/>
            <w:tcBorders>
              <w:top w:val="single" w:sz="4" w:space="0" w:color="000000"/>
              <w:bottom w:val="single" w:sz="4" w:space="0" w:color="000000"/>
              <w:right w:val="single" w:sz="4" w:space="0" w:color="000000"/>
            </w:tcBorders>
            <w:shd w:val="clear" w:color="auto" w:fill="auto"/>
            <w:vAlign w:val="center"/>
          </w:tcPr>
          <w:p w14:paraId="5C3FEDA3"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Izvršenje za izvještajno razdoblje</w:t>
            </w:r>
          </w:p>
        </w:tc>
        <w:tc>
          <w:tcPr>
            <w:tcW w:w="1132" w:type="dxa"/>
            <w:tcBorders>
              <w:top w:val="single" w:sz="4" w:space="0" w:color="000000"/>
              <w:bottom w:val="single" w:sz="4" w:space="0" w:color="000000"/>
              <w:right w:val="single" w:sz="4" w:space="0" w:color="000000"/>
            </w:tcBorders>
            <w:shd w:val="clear" w:color="auto" w:fill="auto"/>
            <w:vAlign w:val="center"/>
          </w:tcPr>
          <w:p w14:paraId="1B8C5CD6"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indeks 5/3</w:t>
            </w:r>
          </w:p>
        </w:tc>
        <w:tc>
          <w:tcPr>
            <w:tcW w:w="1150" w:type="dxa"/>
            <w:tcBorders>
              <w:top w:val="single" w:sz="4" w:space="0" w:color="000000"/>
              <w:bottom w:val="single" w:sz="4" w:space="0" w:color="000000"/>
              <w:right w:val="single" w:sz="4" w:space="0" w:color="000000"/>
            </w:tcBorders>
            <w:shd w:val="clear" w:color="auto" w:fill="auto"/>
            <w:vAlign w:val="center"/>
          </w:tcPr>
          <w:p w14:paraId="72D23051"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Indeks  5/4</w:t>
            </w:r>
          </w:p>
        </w:tc>
      </w:tr>
      <w:tr w:rsidR="007B1DE9" w14:paraId="73336128" w14:textId="77777777" w:rsidTr="00071A95">
        <w:trPr>
          <w:trHeight w:val="240"/>
        </w:trPr>
        <w:tc>
          <w:tcPr>
            <w:tcW w:w="953" w:type="dxa"/>
            <w:tcBorders>
              <w:left w:val="single" w:sz="4" w:space="0" w:color="000000"/>
              <w:bottom w:val="single" w:sz="4" w:space="0" w:color="000000"/>
              <w:right w:val="single" w:sz="4" w:space="0" w:color="000000"/>
            </w:tcBorders>
            <w:shd w:val="clear" w:color="auto" w:fill="auto"/>
            <w:vAlign w:val="bottom"/>
          </w:tcPr>
          <w:p w14:paraId="50AE934E"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1.</w:t>
            </w:r>
          </w:p>
        </w:tc>
        <w:tc>
          <w:tcPr>
            <w:tcW w:w="2437" w:type="dxa"/>
            <w:tcBorders>
              <w:bottom w:val="single" w:sz="4" w:space="0" w:color="000000"/>
              <w:right w:val="single" w:sz="4" w:space="0" w:color="000000"/>
            </w:tcBorders>
            <w:shd w:val="clear" w:color="auto" w:fill="auto"/>
            <w:vAlign w:val="bottom"/>
          </w:tcPr>
          <w:p w14:paraId="5455EF00"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2.</w:t>
            </w:r>
          </w:p>
        </w:tc>
        <w:tc>
          <w:tcPr>
            <w:tcW w:w="1560" w:type="dxa"/>
            <w:tcBorders>
              <w:bottom w:val="single" w:sz="4" w:space="0" w:color="000000"/>
              <w:right w:val="single" w:sz="4" w:space="0" w:color="000000"/>
            </w:tcBorders>
            <w:shd w:val="clear" w:color="auto" w:fill="auto"/>
            <w:vAlign w:val="bottom"/>
          </w:tcPr>
          <w:p w14:paraId="7FBEC0C4"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3.</w:t>
            </w:r>
          </w:p>
        </w:tc>
        <w:tc>
          <w:tcPr>
            <w:tcW w:w="1553" w:type="dxa"/>
            <w:tcBorders>
              <w:bottom w:val="single" w:sz="4" w:space="0" w:color="000000"/>
              <w:right w:val="single" w:sz="4" w:space="0" w:color="000000"/>
            </w:tcBorders>
            <w:shd w:val="clear" w:color="auto" w:fill="auto"/>
            <w:vAlign w:val="bottom"/>
          </w:tcPr>
          <w:p w14:paraId="53F62360"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4.</w:t>
            </w:r>
          </w:p>
        </w:tc>
        <w:tc>
          <w:tcPr>
            <w:tcW w:w="1558" w:type="dxa"/>
            <w:tcBorders>
              <w:bottom w:val="single" w:sz="4" w:space="0" w:color="000000"/>
              <w:right w:val="single" w:sz="4" w:space="0" w:color="000000"/>
            </w:tcBorders>
            <w:shd w:val="clear" w:color="auto" w:fill="auto"/>
            <w:vAlign w:val="bottom"/>
          </w:tcPr>
          <w:p w14:paraId="24B8039A"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5.</w:t>
            </w:r>
          </w:p>
        </w:tc>
        <w:tc>
          <w:tcPr>
            <w:tcW w:w="1132" w:type="dxa"/>
            <w:tcBorders>
              <w:bottom w:val="single" w:sz="4" w:space="0" w:color="000000"/>
              <w:right w:val="single" w:sz="4" w:space="0" w:color="000000"/>
            </w:tcBorders>
            <w:shd w:val="clear" w:color="auto" w:fill="auto"/>
            <w:vAlign w:val="bottom"/>
          </w:tcPr>
          <w:p w14:paraId="426EE9BC"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6.</w:t>
            </w:r>
          </w:p>
        </w:tc>
        <w:tc>
          <w:tcPr>
            <w:tcW w:w="1150" w:type="dxa"/>
            <w:tcBorders>
              <w:bottom w:val="single" w:sz="4" w:space="0" w:color="000000"/>
              <w:right w:val="single" w:sz="4" w:space="0" w:color="000000"/>
            </w:tcBorders>
            <w:shd w:val="clear" w:color="auto" w:fill="auto"/>
            <w:vAlign w:val="bottom"/>
          </w:tcPr>
          <w:p w14:paraId="3409B361"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7.</w:t>
            </w:r>
          </w:p>
        </w:tc>
      </w:tr>
      <w:tr w:rsidR="007B1DE9" w14:paraId="37BB4937" w14:textId="77777777" w:rsidTr="00071A95">
        <w:trPr>
          <w:trHeight w:val="540"/>
        </w:trPr>
        <w:tc>
          <w:tcPr>
            <w:tcW w:w="953" w:type="dxa"/>
            <w:tcBorders>
              <w:left w:val="single" w:sz="4" w:space="0" w:color="000000"/>
              <w:bottom w:val="single" w:sz="4" w:space="0" w:color="000000"/>
              <w:right w:val="single" w:sz="4" w:space="0" w:color="000000"/>
            </w:tcBorders>
            <w:shd w:val="clear" w:color="auto" w:fill="auto"/>
            <w:vAlign w:val="bottom"/>
          </w:tcPr>
          <w:p w14:paraId="15234255"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63</w:t>
            </w:r>
          </w:p>
        </w:tc>
        <w:tc>
          <w:tcPr>
            <w:tcW w:w="2437" w:type="dxa"/>
            <w:tcBorders>
              <w:bottom w:val="single" w:sz="4" w:space="0" w:color="000000"/>
              <w:right w:val="single" w:sz="4" w:space="0" w:color="000000"/>
            </w:tcBorders>
            <w:shd w:val="clear" w:color="auto" w:fill="auto"/>
            <w:vAlign w:val="bottom"/>
          </w:tcPr>
          <w:p w14:paraId="04B461AB"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Pomoći iz inozemstva i od subjekata unutar opće države</w:t>
            </w:r>
          </w:p>
        </w:tc>
        <w:tc>
          <w:tcPr>
            <w:tcW w:w="1560" w:type="dxa"/>
            <w:tcBorders>
              <w:bottom w:val="single" w:sz="4" w:space="0" w:color="000000"/>
              <w:right w:val="single" w:sz="4" w:space="0" w:color="000000"/>
            </w:tcBorders>
            <w:shd w:val="clear" w:color="auto" w:fill="auto"/>
            <w:vAlign w:val="bottom"/>
          </w:tcPr>
          <w:p w14:paraId="171385BC" w14:textId="017007A0"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1.016.982,60</w:t>
            </w:r>
          </w:p>
        </w:tc>
        <w:tc>
          <w:tcPr>
            <w:tcW w:w="1553" w:type="dxa"/>
            <w:tcBorders>
              <w:bottom w:val="single" w:sz="4" w:space="0" w:color="000000"/>
              <w:right w:val="single" w:sz="4" w:space="0" w:color="000000"/>
            </w:tcBorders>
            <w:shd w:val="clear" w:color="auto" w:fill="auto"/>
            <w:vAlign w:val="bottom"/>
          </w:tcPr>
          <w:p w14:paraId="62FE4201" w14:textId="15F1A411"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1.357.201,00</w:t>
            </w:r>
          </w:p>
        </w:tc>
        <w:tc>
          <w:tcPr>
            <w:tcW w:w="1558" w:type="dxa"/>
            <w:tcBorders>
              <w:bottom w:val="single" w:sz="4" w:space="0" w:color="000000"/>
              <w:right w:val="single" w:sz="4" w:space="0" w:color="000000"/>
            </w:tcBorders>
            <w:shd w:val="clear" w:color="auto" w:fill="FFFFFF"/>
            <w:vAlign w:val="bottom"/>
          </w:tcPr>
          <w:p w14:paraId="4F370FDB" w14:textId="3F01FDA3"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1.284.129,25</w:t>
            </w:r>
          </w:p>
        </w:tc>
        <w:tc>
          <w:tcPr>
            <w:tcW w:w="1132" w:type="dxa"/>
            <w:tcBorders>
              <w:bottom w:val="single" w:sz="4" w:space="0" w:color="000000"/>
              <w:right w:val="single" w:sz="4" w:space="0" w:color="000000"/>
            </w:tcBorders>
            <w:shd w:val="clear" w:color="auto" w:fill="auto"/>
            <w:vAlign w:val="bottom"/>
          </w:tcPr>
          <w:p w14:paraId="0E682931" w14:textId="36F9E3BA" w:rsidR="007B1DE9" w:rsidRDefault="00234B63">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126,27</w:t>
            </w:r>
          </w:p>
        </w:tc>
        <w:tc>
          <w:tcPr>
            <w:tcW w:w="1150" w:type="dxa"/>
            <w:tcBorders>
              <w:bottom w:val="single" w:sz="4" w:space="0" w:color="000000"/>
              <w:right w:val="single" w:sz="4" w:space="0" w:color="000000"/>
            </w:tcBorders>
            <w:shd w:val="clear" w:color="auto" w:fill="auto"/>
            <w:vAlign w:val="bottom"/>
          </w:tcPr>
          <w:p w14:paraId="4D00EE1A" w14:textId="312BD934" w:rsidR="007B1DE9" w:rsidRDefault="00234B63">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94,62</w:t>
            </w:r>
          </w:p>
        </w:tc>
      </w:tr>
      <w:tr w:rsidR="007B1DE9" w14:paraId="48A69930" w14:textId="77777777" w:rsidTr="00071A95">
        <w:trPr>
          <w:trHeight w:val="600"/>
        </w:trPr>
        <w:tc>
          <w:tcPr>
            <w:tcW w:w="953" w:type="dxa"/>
            <w:tcBorders>
              <w:left w:val="single" w:sz="4" w:space="0" w:color="000000"/>
              <w:bottom w:val="single" w:sz="4" w:space="0" w:color="000000"/>
              <w:right w:val="single" w:sz="4" w:space="0" w:color="000000"/>
            </w:tcBorders>
            <w:shd w:val="clear" w:color="auto" w:fill="auto"/>
            <w:vAlign w:val="bottom"/>
          </w:tcPr>
          <w:p w14:paraId="26F4A0CB"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65</w:t>
            </w:r>
          </w:p>
        </w:tc>
        <w:tc>
          <w:tcPr>
            <w:tcW w:w="2437" w:type="dxa"/>
            <w:tcBorders>
              <w:bottom w:val="single" w:sz="4" w:space="0" w:color="000000"/>
              <w:right w:val="single" w:sz="4" w:space="0" w:color="000000"/>
            </w:tcBorders>
            <w:shd w:val="clear" w:color="auto" w:fill="auto"/>
            <w:vAlign w:val="bottom"/>
          </w:tcPr>
          <w:p w14:paraId="11C94F1C"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Prihodi od adm. pristojbi i po posebnim propisima</w:t>
            </w:r>
          </w:p>
        </w:tc>
        <w:tc>
          <w:tcPr>
            <w:tcW w:w="1560" w:type="dxa"/>
            <w:tcBorders>
              <w:bottom w:val="single" w:sz="4" w:space="0" w:color="000000"/>
              <w:right w:val="single" w:sz="4" w:space="0" w:color="000000"/>
            </w:tcBorders>
            <w:shd w:val="clear" w:color="auto" w:fill="auto"/>
            <w:vAlign w:val="bottom"/>
          </w:tcPr>
          <w:p w14:paraId="72ECA3F6" w14:textId="77777777" w:rsidR="007B1DE9" w:rsidRDefault="007B1DE9">
            <w:pPr>
              <w:spacing w:after="0" w:line="240" w:lineRule="auto"/>
              <w:jc w:val="right"/>
              <w:rPr>
                <w:rFonts w:ascii="Calibri" w:eastAsia="Times New Roman" w:hAnsi="Calibri" w:cs="Calibri"/>
                <w:color w:val="000000"/>
                <w:lang w:eastAsia="hr-HR"/>
              </w:rPr>
            </w:pPr>
          </w:p>
          <w:p w14:paraId="7B5AF672" w14:textId="78F6FBAB"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 xml:space="preserve">          </w:t>
            </w:r>
            <w:r w:rsidR="00234B63">
              <w:rPr>
                <w:rFonts w:eastAsia="Times New Roman" w:cs="Calibri"/>
                <w:color w:val="000000"/>
                <w:lang w:eastAsia="hr-HR"/>
              </w:rPr>
              <w:t>41.049,06</w:t>
            </w:r>
          </w:p>
        </w:tc>
        <w:tc>
          <w:tcPr>
            <w:tcW w:w="1553" w:type="dxa"/>
            <w:tcBorders>
              <w:bottom w:val="single" w:sz="4" w:space="0" w:color="000000"/>
              <w:right w:val="single" w:sz="4" w:space="0" w:color="000000"/>
            </w:tcBorders>
            <w:shd w:val="clear" w:color="auto" w:fill="auto"/>
            <w:vAlign w:val="bottom"/>
          </w:tcPr>
          <w:p w14:paraId="6BAD6AC6" w14:textId="7A6CF2B5"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45.800,00</w:t>
            </w:r>
          </w:p>
        </w:tc>
        <w:tc>
          <w:tcPr>
            <w:tcW w:w="1558" w:type="dxa"/>
            <w:tcBorders>
              <w:bottom w:val="single" w:sz="4" w:space="0" w:color="000000"/>
              <w:right w:val="single" w:sz="4" w:space="0" w:color="000000"/>
            </w:tcBorders>
            <w:shd w:val="clear" w:color="auto" w:fill="FFFFFF"/>
            <w:vAlign w:val="bottom"/>
          </w:tcPr>
          <w:p w14:paraId="76E61567" w14:textId="3BEAB1E0"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48.439,93</w:t>
            </w:r>
          </w:p>
        </w:tc>
        <w:tc>
          <w:tcPr>
            <w:tcW w:w="1132" w:type="dxa"/>
            <w:tcBorders>
              <w:bottom w:val="single" w:sz="4" w:space="0" w:color="000000"/>
              <w:right w:val="single" w:sz="4" w:space="0" w:color="000000"/>
            </w:tcBorders>
            <w:shd w:val="clear" w:color="auto" w:fill="auto"/>
            <w:vAlign w:val="bottom"/>
          </w:tcPr>
          <w:p w14:paraId="73D00AC6" w14:textId="3D670F20"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118,00</w:t>
            </w:r>
          </w:p>
        </w:tc>
        <w:tc>
          <w:tcPr>
            <w:tcW w:w="1150" w:type="dxa"/>
            <w:tcBorders>
              <w:bottom w:val="single" w:sz="4" w:space="0" w:color="000000"/>
              <w:right w:val="single" w:sz="4" w:space="0" w:color="000000"/>
            </w:tcBorders>
            <w:shd w:val="clear" w:color="auto" w:fill="auto"/>
            <w:vAlign w:val="bottom"/>
          </w:tcPr>
          <w:p w14:paraId="0F3A3F99" w14:textId="0AAF3F1F" w:rsidR="007B1DE9" w:rsidRDefault="00081785" w:rsidP="00081785">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       </w:t>
            </w:r>
            <w:r w:rsidR="00234B63">
              <w:rPr>
                <w:rFonts w:ascii="Calibri" w:eastAsia="Times New Roman" w:hAnsi="Calibri" w:cs="Calibri"/>
                <w:color w:val="000000"/>
                <w:lang w:eastAsia="hr-HR"/>
              </w:rPr>
              <w:t>118,96</w:t>
            </w:r>
          </w:p>
        </w:tc>
      </w:tr>
      <w:tr w:rsidR="007B1DE9" w14:paraId="2EBC9CD9" w14:textId="77777777" w:rsidTr="00071A95">
        <w:trPr>
          <w:trHeight w:val="525"/>
        </w:trPr>
        <w:tc>
          <w:tcPr>
            <w:tcW w:w="953" w:type="dxa"/>
            <w:tcBorders>
              <w:left w:val="single" w:sz="4" w:space="0" w:color="000000"/>
              <w:bottom w:val="single" w:sz="4" w:space="0" w:color="000000"/>
              <w:right w:val="single" w:sz="4" w:space="0" w:color="000000"/>
            </w:tcBorders>
            <w:shd w:val="clear" w:color="auto" w:fill="auto"/>
            <w:vAlign w:val="bottom"/>
          </w:tcPr>
          <w:p w14:paraId="3A4FA0A7"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66</w:t>
            </w:r>
          </w:p>
        </w:tc>
        <w:tc>
          <w:tcPr>
            <w:tcW w:w="2437" w:type="dxa"/>
            <w:tcBorders>
              <w:bottom w:val="single" w:sz="4" w:space="0" w:color="000000"/>
              <w:right w:val="single" w:sz="4" w:space="0" w:color="000000"/>
            </w:tcBorders>
            <w:shd w:val="clear" w:color="auto" w:fill="auto"/>
            <w:vAlign w:val="bottom"/>
          </w:tcPr>
          <w:p w14:paraId="1BD2F4D2" w14:textId="77777777" w:rsidR="007B1DE9" w:rsidRDefault="00096288">
            <w:pPr>
              <w:spacing w:after="0" w:line="240" w:lineRule="auto"/>
              <w:rPr>
                <w:rFonts w:ascii="Calibri" w:eastAsia="Times New Roman" w:hAnsi="Calibri" w:cs="Calibri"/>
                <w:color w:val="000000"/>
                <w:sz w:val="20"/>
                <w:szCs w:val="20"/>
                <w:lang w:eastAsia="hr-HR"/>
              </w:rPr>
            </w:pPr>
            <w:r>
              <w:rPr>
                <w:rFonts w:eastAsia="Times New Roman" w:cs="Calibri"/>
                <w:color w:val="000000"/>
                <w:sz w:val="20"/>
                <w:szCs w:val="20"/>
                <w:lang w:eastAsia="hr-HR"/>
              </w:rPr>
              <w:t>Prihodi od prodaje proizvoda i robe te pruženih usluga  te prihodi od donacija</w:t>
            </w:r>
          </w:p>
        </w:tc>
        <w:tc>
          <w:tcPr>
            <w:tcW w:w="1560" w:type="dxa"/>
            <w:tcBorders>
              <w:bottom w:val="single" w:sz="4" w:space="0" w:color="000000"/>
              <w:right w:val="single" w:sz="4" w:space="0" w:color="000000"/>
            </w:tcBorders>
            <w:shd w:val="clear" w:color="auto" w:fill="auto"/>
            <w:vAlign w:val="bottom"/>
          </w:tcPr>
          <w:p w14:paraId="0706E114" w14:textId="1CAC914C"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6.960,28</w:t>
            </w:r>
          </w:p>
        </w:tc>
        <w:tc>
          <w:tcPr>
            <w:tcW w:w="1553" w:type="dxa"/>
            <w:tcBorders>
              <w:bottom w:val="single" w:sz="4" w:space="0" w:color="000000"/>
              <w:right w:val="single" w:sz="4" w:space="0" w:color="000000"/>
            </w:tcBorders>
            <w:shd w:val="clear" w:color="auto" w:fill="auto"/>
            <w:vAlign w:val="bottom"/>
          </w:tcPr>
          <w:p w14:paraId="2DF56601" w14:textId="67016D54"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21.980,00</w:t>
            </w:r>
          </w:p>
        </w:tc>
        <w:tc>
          <w:tcPr>
            <w:tcW w:w="1558" w:type="dxa"/>
            <w:tcBorders>
              <w:bottom w:val="single" w:sz="4" w:space="0" w:color="000000"/>
              <w:right w:val="single" w:sz="4" w:space="0" w:color="000000"/>
            </w:tcBorders>
            <w:shd w:val="clear" w:color="auto" w:fill="FFFFFF"/>
            <w:vAlign w:val="bottom"/>
          </w:tcPr>
          <w:p w14:paraId="3A56EE82" w14:textId="69E6894A" w:rsidR="007B1DE9" w:rsidRDefault="00234B63" w:rsidP="00081785">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10.336,66</w:t>
            </w:r>
          </w:p>
        </w:tc>
        <w:tc>
          <w:tcPr>
            <w:tcW w:w="1132" w:type="dxa"/>
            <w:tcBorders>
              <w:bottom w:val="single" w:sz="4" w:space="0" w:color="000000"/>
              <w:right w:val="single" w:sz="4" w:space="0" w:color="000000"/>
            </w:tcBorders>
            <w:shd w:val="clear" w:color="auto" w:fill="auto"/>
            <w:vAlign w:val="bottom"/>
          </w:tcPr>
          <w:p w14:paraId="3408C945" w14:textId="6F3450C4"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148,51</w:t>
            </w:r>
          </w:p>
        </w:tc>
        <w:tc>
          <w:tcPr>
            <w:tcW w:w="1150" w:type="dxa"/>
            <w:tcBorders>
              <w:bottom w:val="single" w:sz="4" w:space="0" w:color="000000"/>
              <w:right w:val="single" w:sz="4" w:space="0" w:color="000000"/>
            </w:tcBorders>
            <w:shd w:val="clear" w:color="auto" w:fill="auto"/>
            <w:vAlign w:val="bottom"/>
          </w:tcPr>
          <w:p w14:paraId="501E1FF3" w14:textId="0FD06995" w:rsidR="007B1DE9" w:rsidRDefault="00234B63">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47,03</w:t>
            </w:r>
          </w:p>
        </w:tc>
      </w:tr>
      <w:tr w:rsidR="007B1DE9" w14:paraId="19475FD0" w14:textId="77777777" w:rsidTr="00071A95">
        <w:trPr>
          <w:trHeight w:val="600"/>
        </w:trPr>
        <w:tc>
          <w:tcPr>
            <w:tcW w:w="953" w:type="dxa"/>
            <w:tcBorders>
              <w:left w:val="single" w:sz="4" w:space="0" w:color="000000"/>
              <w:bottom w:val="single" w:sz="4" w:space="0" w:color="000000"/>
              <w:right w:val="single" w:sz="4" w:space="0" w:color="000000"/>
            </w:tcBorders>
            <w:shd w:val="clear" w:color="auto" w:fill="auto"/>
            <w:vAlign w:val="bottom"/>
          </w:tcPr>
          <w:p w14:paraId="14D9F612"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67</w:t>
            </w:r>
          </w:p>
        </w:tc>
        <w:tc>
          <w:tcPr>
            <w:tcW w:w="2437" w:type="dxa"/>
            <w:tcBorders>
              <w:bottom w:val="single" w:sz="4" w:space="0" w:color="000000"/>
              <w:right w:val="single" w:sz="4" w:space="0" w:color="000000"/>
            </w:tcBorders>
            <w:shd w:val="clear" w:color="auto" w:fill="auto"/>
            <w:vAlign w:val="bottom"/>
          </w:tcPr>
          <w:p w14:paraId="08C1BDB9"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Prihodi iz nadležnog proračuna i od HZZO-a</w:t>
            </w:r>
          </w:p>
        </w:tc>
        <w:tc>
          <w:tcPr>
            <w:tcW w:w="1560" w:type="dxa"/>
            <w:tcBorders>
              <w:bottom w:val="single" w:sz="4" w:space="0" w:color="000000"/>
              <w:right w:val="single" w:sz="4" w:space="0" w:color="000000"/>
            </w:tcBorders>
            <w:shd w:val="clear" w:color="auto" w:fill="auto"/>
            <w:vAlign w:val="bottom"/>
          </w:tcPr>
          <w:p w14:paraId="0B9829FE" w14:textId="55A84859" w:rsidR="007B1DE9" w:rsidRDefault="00CE6F25" w:rsidP="00CE6F25">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226.378,09</w:t>
            </w:r>
          </w:p>
        </w:tc>
        <w:tc>
          <w:tcPr>
            <w:tcW w:w="1553" w:type="dxa"/>
            <w:tcBorders>
              <w:bottom w:val="single" w:sz="4" w:space="0" w:color="000000"/>
              <w:right w:val="single" w:sz="4" w:space="0" w:color="000000"/>
            </w:tcBorders>
            <w:shd w:val="clear" w:color="auto" w:fill="auto"/>
            <w:vAlign w:val="bottom"/>
          </w:tcPr>
          <w:p w14:paraId="678FA932" w14:textId="036B69D9"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342.699,00</w:t>
            </w:r>
          </w:p>
        </w:tc>
        <w:tc>
          <w:tcPr>
            <w:tcW w:w="1558" w:type="dxa"/>
            <w:tcBorders>
              <w:bottom w:val="single" w:sz="4" w:space="0" w:color="000000"/>
              <w:right w:val="single" w:sz="4" w:space="0" w:color="000000"/>
            </w:tcBorders>
            <w:shd w:val="clear" w:color="auto" w:fill="FFFFFF"/>
            <w:vAlign w:val="bottom"/>
          </w:tcPr>
          <w:p w14:paraId="0D5ADEA6" w14:textId="2B1A95FC"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323.346,64</w:t>
            </w:r>
          </w:p>
        </w:tc>
        <w:tc>
          <w:tcPr>
            <w:tcW w:w="1132" w:type="dxa"/>
            <w:tcBorders>
              <w:bottom w:val="single" w:sz="4" w:space="0" w:color="000000"/>
              <w:right w:val="single" w:sz="4" w:space="0" w:color="000000"/>
            </w:tcBorders>
            <w:shd w:val="clear" w:color="auto" w:fill="auto"/>
            <w:vAlign w:val="bottom"/>
          </w:tcPr>
          <w:p w14:paraId="721C46F7" w14:textId="7F9F6A88" w:rsidR="007B1DE9" w:rsidRDefault="00CE6F25">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142,83</w:t>
            </w:r>
          </w:p>
        </w:tc>
        <w:tc>
          <w:tcPr>
            <w:tcW w:w="1150" w:type="dxa"/>
            <w:tcBorders>
              <w:bottom w:val="single" w:sz="4" w:space="0" w:color="000000"/>
              <w:right w:val="single" w:sz="4" w:space="0" w:color="000000"/>
            </w:tcBorders>
            <w:shd w:val="clear" w:color="auto" w:fill="auto"/>
            <w:vAlign w:val="bottom"/>
          </w:tcPr>
          <w:p w14:paraId="41DB6891" w14:textId="39BE4B41"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94,35</w:t>
            </w:r>
          </w:p>
        </w:tc>
      </w:tr>
      <w:tr w:rsidR="007B1DE9" w14:paraId="5FD6D28B" w14:textId="77777777" w:rsidTr="00071A95">
        <w:trPr>
          <w:trHeight w:val="600"/>
        </w:trPr>
        <w:tc>
          <w:tcPr>
            <w:tcW w:w="953" w:type="dxa"/>
            <w:tcBorders>
              <w:left w:val="single" w:sz="4" w:space="0" w:color="000000"/>
              <w:bottom w:val="single" w:sz="4" w:space="0" w:color="000000"/>
              <w:right w:val="single" w:sz="4" w:space="0" w:color="000000"/>
            </w:tcBorders>
            <w:shd w:val="clear" w:color="auto" w:fill="auto"/>
            <w:vAlign w:val="bottom"/>
          </w:tcPr>
          <w:p w14:paraId="62337FEF"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72</w:t>
            </w:r>
          </w:p>
        </w:tc>
        <w:tc>
          <w:tcPr>
            <w:tcW w:w="2437" w:type="dxa"/>
            <w:tcBorders>
              <w:bottom w:val="single" w:sz="4" w:space="0" w:color="000000"/>
              <w:right w:val="single" w:sz="4" w:space="0" w:color="000000"/>
            </w:tcBorders>
            <w:shd w:val="clear" w:color="auto" w:fill="auto"/>
            <w:vAlign w:val="bottom"/>
          </w:tcPr>
          <w:p w14:paraId="6CBFD7B4"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Prihodi od prodaje proizvedene dugotrajne imovine</w:t>
            </w:r>
          </w:p>
        </w:tc>
        <w:tc>
          <w:tcPr>
            <w:tcW w:w="1560" w:type="dxa"/>
            <w:tcBorders>
              <w:bottom w:val="single" w:sz="4" w:space="0" w:color="000000"/>
              <w:right w:val="single" w:sz="4" w:space="0" w:color="000000"/>
            </w:tcBorders>
            <w:shd w:val="clear" w:color="auto" w:fill="auto"/>
            <w:vAlign w:val="bottom"/>
          </w:tcPr>
          <w:p w14:paraId="16C2F31A" w14:textId="1F8CBBC5" w:rsidR="007B1DE9" w:rsidRDefault="00CE6F25">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587,05</w:t>
            </w:r>
          </w:p>
        </w:tc>
        <w:tc>
          <w:tcPr>
            <w:tcW w:w="1553" w:type="dxa"/>
            <w:tcBorders>
              <w:bottom w:val="single" w:sz="4" w:space="0" w:color="000000"/>
              <w:right w:val="single" w:sz="4" w:space="0" w:color="000000"/>
            </w:tcBorders>
            <w:shd w:val="clear" w:color="auto" w:fill="auto"/>
            <w:vAlign w:val="bottom"/>
          </w:tcPr>
          <w:p w14:paraId="4FF4F6B3" w14:textId="4D750C74" w:rsidR="007B1DE9" w:rsidRDefault="00AF673A">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265,00</w:t>
            </w:r>
          </w:p>
        </w:tc>
        <w:tc>
          <w:tcPr>
            <w:tcW w:w="1558" w:type="dxa"/>
            <w:tcBorders>
              <w:bottom w:val="single" w:sz="4" w:space="0" w:color="000000"/>
              <w:right w:val="single" w:sz="4" w:space="0" w:color="000000"/>
            </w:tcBorders>
            <w:shd w:val="clear" w:color="auto" w:fill="FFFFFF"/>
            <w:vAlign w:val="bottom"/>
          </w:tcPr>
          <w:p w14:paraId="03A90B18" w14:textId="6016F352"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186,40</w:t>
            </w:r>
          </w:p>
        </w:tc>
        <w:tc>
          <w:tcPr>
            <w:tcW w:w="1132" w:type="dxa"/>
            <w:tcBorders>
              <w:bottom w:val="single" w:sz="4" w:space="0" w:color="000000"/>
              <w:right w:val="single" w:sz="4" w:space="0" w:color="000000"/>
            </w:tcBorders>
            <w:shd w:val="clear" w:color="auto" w:fill="auto"/>
            <w:vAlign w:val="bottom"/>
          </w:tcPr>
          <w:p w14:paraId="071B57F0" w14:textId="6108F0DC"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31,75</w:t>
            </w:r>
          </w:p>
        </w:tc>
        <w:tc>
          <w:tcPr>
            <w:tcW w:w="1150" w:type="dxa"/>
            <w:tcBorders>
              <w:bottom w:val="single" w:sz="4" w:space="0" w:color="000000"/>
              <w:right w:val="single" w:sz="4" w:space="0" w:color="000000"/>
            </w:tcBorders>
            <w:shd w:val="clear" w:color="auto" w:fill="auto"/>
            <w:vAlign w:val="bottom"/>
          </w:tcPr>
          <w:p w14:paraId="3F0938DA" w14:textId="1A6B1BEA"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70,34</w:t>
            </w:r>
          </w:p>
        </w:tc>
      </w:tr>
      <w:tr w:rsidR="007B1DE9" w14:paraId="1AFEB364" w14:textId="77777777" w:rsidTr="00071A95">
        <w:trPr>
          <w:trHeight w:val="300"/>
        </w:trPr>
        <w:tc>
          <w:tcPr>
            <w:tcW w:w="953" w:type="dxa"/>
            <w:tcBorders>
              <w:left w:val="single" w:sz="4" w:space="0" w:color="000000"/>
              <w:bottom w:val="single" w:sz="4" w:space="0" w:color="000000"/>
              <w:right w:val="single" w:sz="4" w:space="0" w:color="000000"/>
            </w:tcBorders>
            <w:shd w:val="clear" w:color="auto" w:fill="auto"/>
            <w:vAlign w:val="bottom"/>
          </w:tcPr>
          <w:p w14:paraId="4F58060C" w14:textId="77777777" w:rsidR="007B1DE9" w:rsidRDefault="007B1DE9">
            <w:pPr>
              <w:spacing w:after="0" w:line="240" w:lineRule="auto"/>
              <w:jc w:val="center"/>
              <w:rPr>
                <w:rFonts w:ascii="Calibri" w:eastAsia="Times New Roman" w:hAnsi="Calibri" w:cs="Calibri"/>
                <w:color w:val="000000"/>
                <w:lang w:eastAsia="hr-HR"/>
              </w:rPr>
            </w:pPr>
          </w:p>
        </w:tc>
        <w:tc>
          <w:tcPr>
            <w:tcW w:w="2437" w:type="dxa"/>
            <w:tcBorders>
              <w:bottom w:val="single" w:sz="4" w:space="0" w:color="000000"/>
              <w:right w:val="single" w:sz="4" w:space="0" w:color="000000"/>
            </w:tcBorders>
            <w:shd w:val="clear" w:color="auto" w:fill="auto"/>
            <w:vAlign w:val="bottom"/>
          </w:tcPr>
          <w:p w14:paraId="7EECD53E"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UKUPNO PRIHODI</w:t>
            </w:r>
          </w:p>
        </w:tc>
        <w:tc>
          <w:tcPr>
            <w:tcW w:w="1560" w:type="dxa"/>
            <w:tcBorders>
              <w:bottom w:val="single" w:sz="4" w:space="0" w:color="000000"/>
              <w:right w:val="single" w:sz="4" w:space="0" w:color="000000"/>
            </w:tcBorders>
            <w:shd w:val="clear" w:color="auto" w:fill="auto"/>
            <w:vAlign w:val="bottom"/>
          </w:tcPr>
          <w:p w14:paraId="5EBDB863" w14:textId="7C53C283"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1.291.957,08</w:t>
            </w:r>
          </w:p>
        </w:tc>
        <w:tc>
          <w:tcPr>
            <w:tcW w:w="1553" w:type="dxa"/>
            <w:tcBorders>
              <w:bottom w:val="single" w:sz="4" w:space="0" w:color="000000"/>
              <w:right w:val="single" w:sz="4" w:space="0" w:color="000000"/>
            </w:tcBorders>
            <w:shd w:val="clear" w:color="auto" w:fill="auto"/>
            <w:vAlign w:val="bottom"/>
          </w:tcPr>
          <w:p w14:paraId="2F579A63" w14:textId="6AC426A0" w:rsidR="007B1DE9" w:rsidRDefault="00AF673A">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w:t>
            </w:r>
            <w:r w:rsidR="00CE6F25">
              <w:rPr>
                <w:rFonts w:ascii="Calibri" w:eastAsia="Times New Roman" w:hAnsi="Calibri" w:cs="Calibri"/>
                <w:color w:val="000000"/>
                <w:lang w:eastAsia="hr-HR"/>
              </w:rPr>
              <w:t>767.945</w:t>
            </w:r>
            <w:r>
              <w:rPr>
                <w:rFonts w:ascii="Calibri" w:eastAsia="Times New Roman" w:hAnsi="Calibri" w:cs="Calibri"/>
                <w:color w:val="000000"/>
                <w:lang w:eastAsia="hr-HR"/>
              </w:rPr>
              <w:t>,00</w:t>
            </w:r>
          </w:p>
        </w:tc>
        <w:tc>
          <w:tcPr>
            <w:tcW w:w="1558" w:type="dxa"/>
            <w:tcBorders>
              <w:bottom w:val="single" w:sz="4" w:space="0" w:color="000000"/>
              <w:right w:val="single" w:sz="4" w:space="0" w:color="000000"/>
            </w:tcBorders>
            <w:shd w:val="clear" w:color="auto" w:fill="FFFFFF"/>
            <w:vAlign w:val="bottom"/>
          </w:tcPr>
          <w:p w14:paraId="4ECA9B6F" w14:textId="2DFB2E16" w:rsidR="007B1DE9" w:rsidRDefault="00AF673A">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w:t>
            </w:r>
            <w:r w:rsidR="00CE6F25">
              <w:rPr>
                <w:rFonts w:ascii="Calibri" w:eastAsia="Times New Roman" w:hAnsi="Calibri" w:cs="Calibri"/>
                <w:color w:val="000000"/>
                <w:lang w:eastAsia="hr-HR"/>
              </w:rPr>
              <w:t>666.438,88</w:t>
            </w:r>
          </w:p>
        </w:tc>
        <w:tc>
          <w:tcPr>
            <w:tcW w:w="1132" w:type="dxa"/>
            <w:tcBorders>
              <w:bottom w:val="single" w:sz="4" w:space="0" w:color="000000"/>
              <w:right w:val="single" w:sz="4" w:space="0" w:color="000000"/>
            </w:tcBorders>
            <w:shd w:val="clear" w:color="auto" w:fill="auto"/>
            <w:vAlign w:val="bottom"/>
          </w:tcPr>
          <w:p w14:paraId="4DB9D880" w14:textId="6AA0199F" w:rsidR="007B1DE9" w:rsidRDefault="00CE6F25">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128,99</w:t>
            </w:r>
          </w:p>
        </w:tc>
        <w:tc>
          <w:tcPr>
            <w:tcW w:w="1150" w:type="dxa"/>
            <w:tcBorders>
              <w:bottom w:val="single" w:sz="4" w:space="0" w:color="000000"/>
              <w:right w:val="single" w:sz="4" w:space="0" w:color="000000"/>
            </w:tcBorders>
            <w:shd w:val="clear" w:color="auto" w:fill="auto"/>
            <w:vAlign w:val="bottom"/>
          </w:tcPr>
          <w:p w14:paraId="6DB384E8" w14:textId="0C1C4F36" w:rsidR="007B1DE9" w:rsidRDefault="00CE6F25" w:rsidP="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94,26</w:t>
            </w:r>
          </w:p>
        </w:tc>
      </w:tr>
      <w:tr w:rsidR="007B1DE9" w14:paraId="4D640D14" w14:textId="77777777" w:rsidTr="00071A95">
        <w:trPr>
          <w:trHeight w:val="300"/>
        </w:trPr>
        <w:tc>
          <w:tcPr>
            <w:tcW w:w="953" w:type="dxa"/>
            <w:tcBorders>
              <w:left w:val="single" w:sz="4" w:space="0" w:color="000000"/>
              <w:bottom w:val="single" w:sz="4" w:space="0" w:color="000000"/>
              <w:right w:val="single" w:sz="4" w:space="0" w:color="000000"/>
            </w:tcBorders>
            <w:shd w:val="clear" w:color="auto" w:fill="auto"/>
            <w:vAlign w:val="bottom"/>
          </w:tcPr>
          <w:p w14:paraId="3834C797" w14:textId="77777777" w:rsidR="007B1DE9" w:rsidRDefault="007B1DE9">
            <w:pPr>
              <w:spacing w:after="0" w:line="240" w:lineRule="auto"/>
              <w:jc w:val="center"/>
              <w:rPr>
                <w:rFonts w:ascii="Calibri" w:eastAsia="Times New Roman" w:hAnsi="Calibri" w:cs="Calibri"/>
                <w:color w:val="000000"/>
                <w:lang w:eastAsia="hr-HR"/>
              </w:rPr>
            </w:pPr>
          </w:p>
        </w:tc>
        <w:tc>
          <w:tcPr>
            <w:tcW w:w="2437" w:type="dxa"/>
            <w:tcBorders>
              <w:bottom w:val="single" w:sz="4" w:space="0" w:color="000000"/>
              <w:right w:val="single" w:sz="4" w:space="0" w:color="000000"/>
            </w:tcBorders>
            <w:shd w:val="clear" w:color="auto" w:fill="auto"/>
            <w:vAlign w:val="bottom"/>
          </w:tcPr>
          <w:p w14:paraId="5BD9B18A"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višak/manjak iz prethodne godine</w:t>
            </w:r>
          </w:p>
        </w:tc>
        <w:tc>
          <w:tcPr>
            <w:tcW w:w="1560" w:type="dxa"/>
            <w:tcBorders>
              <w:bottom w:val="single" w:sz="4" w:space="0" w:color="000000"/>
              <w:right w:val="single" w:sz="4" w:space="0" w:color="000000"/>
            </w:tcBorders>
            <w:shd w:val="clear" w:color="auto" w:fill="auto"/>
            <w:vAlign w:val="bottom"/>
          </w:tcPr>
          <w:p w14:paraId="497CD220" w14:textId="109F1166" w:rsidR="007B1DE9" w:rsidRDefault="00CE6F25">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3.433,82</w:t>
            </w:r>
          </w:p>
        </w:tc>
        <w:tc>
          <w:tcPr>
            <w:tcW w:w="1553" w:type="dxa"/>
            <w:tcBorders>
              <w:bottom w:val="single" w:sz="4" w:space="0" w:color="000000"/>
              <w:right w:val="single" w:sz="4" w:space="0" w:color="000000"/>
            </w:tcBorders>
            <w:shd w:val="clear" w:color="auto" w:fill="auto"/>
            <w:vAlign w:val="bottom"/>
          </w:tcPr>
          <w:p w14:paraId="5495EB0B" w14:textId="77777777" w:rsidR="007B1DE9" w:rsidRDefault="00096288">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w:t>
            </w:r>
          </w:p>
        </w:tc>
        <w:tc>
          <w:tcPr>
            <w:tcW w:w="1558" w:type="dxa"/>
            <w:tcBorders>
              <w:bottom w:val="single" w:sz="4" w:space="0" w:color="000000"/>
              <w:right w:val="single" w:sz="4" w:space="0" w:color="000000"/>
            </w:tcBorders>
            <w:shd w:val="clear" w:color="auto" w:fill="FFFFFF"/>
            <w:vAlign w:val="bottom"/>
          </w:tcPr>
          <w:p w14:paraId="1666E189" w14:textId="24AB1626" w:rsidR="007B1DE9" w:rsidRDefault="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w:t>
            </w:r>
          </w:p>
        </w:tc>
        <w:tc>
          <w:tcPr>
            <w:tcW w:w="1132" w:type="dxa"/>
            <w:tcBorders>
              <w:bottom w:val="single" w:sz="4" w:space="0" w:color="000000"/>
              <w:right w:val="single" w:sz="4" w:space="0" w:color="000000"/>
            </w:tcBorders>
            <w:shd w:val="clear" w:color="auto" w:fill="auto"/>
            <w:vAlign w:val="bottom"/>
          </w:tcPr>
          <w:p w14:paraId="03E704C3" w14:textId="315BFB8D" w:rsidR="007B1DE9" w:rsidRDefault="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w:t>
            </w:r>
          </w:p>
        </w:tc>
        <w:tc>
          <w:tcPr>
            <w:tcW w:w="1150" w:type="dxa"/>
            <w:tcBorders>
              <w:bottom w:val="single" w:sz="4" w:space="0" w:color="000000"/>
              <w:right w:val="single" w:sz="4" w:space="0" w:color="000000"/>
            </w:tcBorders>
            <w:shd w:val="clear" w:color="auto" w:fill="auto"/>
            <w:vAlign w:val="bottom"/>
          </w:tcPr>
          <w:p w14:paraId="50AE64F6" w14:textId="77777777" w:rsidR="007B1DE9" w:rsidRDefault="00096288">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0,00</w:t>
            </w:r>
          </w:p>
        </w:tc>
      </w:tr>
      <w:tr w:rsidR="007B1DE9" w14:paraId="34E9F9B4" w14:textId="77777777" w:rsidTr="00071A95">
        <w:trPr>
          <w:trHeight w:val="300"/>
        </w:trPr>
        <w:tc>
          <w:tcPr>
            <w:tcW w:w="953" w:type="dxa"/>
            <w:tcBorders>
              <w:left w:val="single" w:sz="4" w:space="0" w:color="000000"/>
              <w:bottom w:val="single" w:sz="4" w:space="0" w:color="000000"/>
              <w:right w:val="single" w:sz="4" w:space="0" w:color="000000"/>
            </w:tcBorders>
            <w:shd w:val="clear" w:color="auto" w:fill="auto"/>
            <w:vAlign w:val="bottom"/>
          </w:tcPr>
          <w:p w14:paraId="12569EB2" w14:textId="77777777" w:rsidR="007B1DE9" w:rsidRDefault="007B1DE9">
            <w:pPr>
              <w:spacing w:after="0" w:line="240" w:lineRule="auto"/>
              <w:jc w:val="center"/>
              <w:rPr>
                <w:rFonts w:ascii="Calibri" w:eastAsia="Times New Roman" w:hAnsi="Calibri" w:cs="Calibri"/>
                <w:color w:val="000000"/>
                <w:lang w:eastAsia="hr-HR"/>
              </w:rPr>
            </w:pPr>
          </w:p>
        </w:tc>
        <w:tc>
          <w:tcPr>
            <w:tcW w:w="2437" w:type="dxa"/>
            <w:tcBorders>
              <w:bottom w:val="single" w:sz="4" w:space="0" w:color="000000"/>
              <w:right w:val="single" w:sz="4" w:space="0" w:color="000000"/>
            </w:tcBorders>
            <w:shd w:val="clear" w:color="auto" w:fill="auto"/>
            <w:vAlign w:val="bottom"/>
          </w:tcPr>
          <w:p w14:paraId="2012D1C2"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SVEUKUPNI PRIHODI I PRIMICI</w:t>
            </w:r>
          </w:p>
        </w:tc>
        <w:tc>
          <w:tcPr>
            <w:tcW w:w="1560" w:type="dxa"/>
            <w:tcBorders>
              <w:bottom w:val="single" w:sz="4" w:space="0" w:color="000000"/>
              <w:right w:val="single" w:sz="4" w:space="0" w:color="000000"/>
            </w:tcBorders>
            <w:shd w:val="clear" w:color="auto" w:fill="auto"/>
            <w:vAlign w:val="bottom"/>
          </w:tcPr>
          <w:p w14:paraId="0D05B0B5" w14:textId="0B5301B3" w:rsidR="007B1DE9" w:rsidRDefault="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1.291.957,08</w:t>
            </w:r>
          </w:p>
        </w:tc>
        <w:tc>
          <w:tcPr>
            <w:tcW w:w="1553" w:type="dxa"/>
            <w:tcBorders>
              <w:bottom w:val="single" w:sz="4" w:space="0" w:color="000000"/>
              <w:right w:val="single" w:sz="4" w:space="0" w:color="000000"/>
            </w:tcBorders>
            <w:shd w:val="clear" w:color="auto" w:fill="auto"/>
            <w:vAlign w:val="bottom"/>
          </w:tcPr>
          <w:p w14:paraId="2E58D032" w14:textId="083A9B57" w:rsidR="007B1DE9" w:rsidRDefault="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1.767.945,00</w:t>
            </w:r>
          </w:p>
        </w:tc>
        <w:tc>
          <w:tcPr>
            <w:tcW w:w="1558" w:type="dxa"/>
            <w:tcBorders>
              <w:bottom w:val="single" w:sz="4" w:space="0" w:color="000000"/>
              <w:right w:val="single" w:sz="4" w:space="0" w:color="000000"/>
            </w:tcBorders>
            <w:shd w:val="clear" w:color="auto" w:fill="auto"/>
            <w:vAlign w:val="bottom"/>
          </w:tcPr>
          <w:p w14:paraId="2037C9BC" w14:textId="0AD5F624" w:rsidR="007B1DE9" w:rsidRDefault="00A51F92">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1.666.438,88</w:t>
            </w:r>
          </w:p>
        </w:tc>
        <w:tc>
          <w:tcPr>
            <w:tcW w:w="1132" w:type="dxa"/>
            <w:tcBorders>
              <w:bottom w:val="single" w:sz="4" w:space="0" w:color="000000"/>
              <w:right w:val="single" w:sz="4" w:space="0" w:color="000000"/>
            </w:tcBorders>
            <w:shd w:val="clear" w:color="auto" w:fill="auto"/>
            <w:vAlign w:val="bottom"/>
          </w:tcPr>
          <w:p w14:paraId="1742F449" w14:textId="0A2F829B" w:rsidR="007B1DE9" w:rsidRDefault="00A51F9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128,99</w:t>
            </w:r>
          </w:p>
        </w:tc>
        <w:tc>
          <w:tcPr>
            <w:tcW w:w="1150" w:type="dxa"/>
            <w:tcBorders>
              <w:bottom w:val="single" w:sz="4" w:space="0" w:color="000000"/>
              <w:right w:val="single" w:sz="4" w:space="0" w:color="000000"/>
            </w:tcBorders>
            <w:shd w:val="clear" w:color="auto" w:fill="auto"/>
            <w:vAlign w:val="bottom"/>
          </w:tcPr>
          <w:p w14:paraId="7EA256D4" w14:textId="6D0ABB03" w:rsidR="007B1DE9" w:rsidRDefault="00A51F92">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94,26</w:t>
            </w:r>
          </w:p>
        </w:tc>
      </w:tr>
    </w:tbl>
    <w:p w14:paraId="37DCD247" w14:textId="77777777" w:rsidR="00DC2AC7" w:rsidRDefault="00DC2AC7">
      <w:pPr>
        <w:spacing w:line="240" w:lineRule="auto"/>
      </w:pPr>
    </w:p>
    <w:p w14:paraId="0F1D3D71" w14:textId="767206E1" w:rsidR="007B1DE9" w:rsidRDefault="00096288">
      <w:pPr>
        <w:spacing w:line="240" w:lineRule="auto"/>
      </w:pPr>
      <w:r>
        <w:t>Prihodi od pomoći (skupina 63) ostvareni su 9</w:t>
      </w:r>
      <w:r w:rsidR="005766F9">
        <w:t>4,62</w:t>
      </w:r>
      <w:r>
        <w:t xml:space="preserve"> % u odnosu na godišnji financijski </w:t>
      </w:r>
      <w:r w:rsidR="009D48CB">
        <w:t xml:space="preserve">plan </w:t>
      </w:r>
      <w:r>
        <w:t xml:space="preserve">prihoda i primitaka i rashoda i izdataka. Na ovoj skupini konta vode se pomoći proračunskim korisnicima iz proračuna koji im nije nadležan (skupina 636), a odnosi se na plaće, materijalna prava zaposlenika te račun Pomoći iz državnog proračuna temeljem prijenosa EU sredstava (skupina 638) gdje se bilježe prihodi po projektnim aktivnostima iz sredstava EU. Škola provodi projekt </w:t>
      </w:r>
      <w:r w:rsidR="004D15F9">
        <w:t>Shema</w:t>
      </w:r>
      <w:r>
        <w:t xml:space="preserve"> školsko </w:t>
      </w:r>
      <w:r w:rsidR="005766F9">
        <w:t>mlijeko</w:t>
      </w:r>
      <w:r>
        <w:t>.</w:t>
      </w:r>
    </w:p>
    <w:p w14:paraId="6FCAE3BA" w14:textId="78198429" w:rsidR="007B1DE9" w:rsidRDefault="00096288">
      <w:pPr>
        <w:spacing w:line="240" w:lineRule="auto"/>
      </w:pPr>
      <w:r>
        <w:lastRenderedPageBreak/>
        <w:t xml:space="preserve">Prihodi od administrativnih pristojbi i po posebnim propisima (skupina 65) ostvareni su  </w:t>
      </w:r>
      <w:r w:rsidR="00BA50E7">
        <w:t>118</w:t>
      </w:r>
      <w:r>
        <w:t xml:space="preserve"> % u odnosu na plan, </w:t>
      </w:r>
      <w:r w:rsidR="004D15F9">
        <w:t xml:space="preserve">a </w:t>
      </w:r>
      <w:r>
        <w:t>odnose se na prihode</w:t>
      </w:r>
      <w:r w:rsidR="00BA50E7">
        <w:t xml:space="preserve"> od roditelja</w:t>
      </w:r>
      <w:r>
        <w:t xml:space="preserve"> za školske izlete-terensku nastavu uč</w:t>
      </w:r>
      <w:r w:rsidR="00BA50E7">
        <w:t>enika i za plaćanje usluge produženog boravka.</w:t>
      </w:r>
    </w:p>
    <w:p w14:paraId="73E19FA0" w14:textId="6F6CBBB0" w:rsidR="007B1DE9" w:rsidRDefault="00096288">
      <w:pPr>
        <w:spacing w:line="240" w:lineRule="auto"/>
      </w:pPr>
      <w:r>
        <w:t xml:space="preserve">Prihodi od prodaje proizvoda i robe te pruženih usluga </w:t>
      </w:r>
      <w:r w:rsidR="00F862B2">
        <w:t xml:space="preserve">(skupina 66) ostvareni su </w:t>
      </w:r>
      <w:r w:rsidR="00BA50E7">
        <w:t>47,03</w:t>
      </w:r>
      <w:r w:rsidR="00F862B2">
        <w:t xml:space="preserve"> % u odnosu na plan odnosno 1</w:t>
      </w:r>
      <w:r w:rsidR="00BA50E7">
        <w:t>48,51</w:t>
      </w:r>
      <w:r w:rsidR="00F862B2">
        <w:t xml:space="preserve"> % u odnosu na prethodnu godinu.</w:t>
      </w:r>
    </w:p>
    <w:p w14:paraId="31B5BE9A" w14:textId="0D759EA7" w:rsidR="007B1DE9" w:rsidRDefault="00096288">
      <w:pPr>
        <w:spacing w:line="240" w:lineRule="auto"/>
      </w:pPr>
      <w:r>
        <w:t>Prihodi iz nadležnog proračuna (skupina 671) odnose se na prihode koje škola ostvaruje iz proračuna osnivača odnosno Grada Karlovca</w:t>
      </w:r>
      <w:r w:rsidR="00C6307F">
        <w:t>.</w:t>
      </w:r>
      <w:r>
        <w:t xml:space="preserve"> </w:t>
      </w:r>
      <w:r w:rsidR="00C6307F">
        <w:t>T</w:t>
      </w:r>
      <w:r>
        <w:t xml:space="preserve">o su prihodi podskupine 671, a odnose se na opće prihode i primitke i na decentralizirana sredstva. </w:t>
      </w:r>
    </w:p>
    <w:p w14:paraId="42A63FF8" w14:textId="18E02928" w:rsidR="007B1DE9" w:rsidRDefault="00096288">
      <w:pPr>
        <w:spacing w:line="240" w:lineRule="auto"/>
      </w:pPr>
      <w:r>
        <w:t xml:space="preserve">Ostvareni su </w:t>
      </w:r>
      <w:r w:rsidR="00BA50E7">
        <w:t>142,83</w:t>
      </w:r>
      <w:r>
        <w:t xml:space="preserve"> % u odnosu na proteklo razdoblje i  </w:t>
      </w:r>
      <w:r w:rsidR="00BA50E7">
        <w:t>94,35</w:t>
      </w:r>
      <w:r>
        <w:t xml:space="preserve"> % u odnosu na plan</w:t>
      </w:r>
      <w:r w:rsidR="00F862B2">
        <w:t>.</w:t>
      </w:r>
    </w:p>
    <w:p w14:paraId="1EB8C449" w14:textId="2688FEA3" w:rsidR="00E82762" w:rsidRDefault="00F862B2" w:rsidP="004343ED">
      <w:pPr>
        <w:spacing w:line="240" w:lineRule="auto"/>
      </w:pPr>
      <w:r>
        <w:t>Prihodi od prodaje proizvedene dugotrajne imovine ostvareni su 3</w:t>
      </w:r>
      <w:r w:rsidR="00BA50E7">
        <w:t>1,75</w:t>
      </w:r>
      <w:r>
        <w:t xml:space="preserve"> % u odnosu na prethodnu godinu odnosno </w:t>
      </w:r>
      <w:r w:rsidR="00BA50E7">
        <w:t>70,34</w:t>
      </w:r>
      <w:r>
        <w:t xml:space="preserve"> %  u odnosu na plan .</w:t>
      </w:r>
    </w:p>
    <w:p w14:paraId="7A0EF98C" w14:textId="4A118F71" w:rsidR="007B1DE9" w:rsidRPr="00E82762" w:rsidRDefault="00096288" w:rsidP="004343ED">
      <w:pPr>
        <w:spacing w:line="240" w:lineRule="auto"/>
      </w:pPr>
      <w:r>
        <w:t>Rekapitulacija rashoda po skupinama računa:</w:t>
      </w:r>
    </w:p>
    <w:tbl>
      <w:tblPr>
        <w:tblW w:w="10405" w:type="dxa"/>
        <w:tblInd w:w="-572" w:type="dxa"/>
        <w:tblLook w:val="04A0" w:firstRow="1" w:lastRow="0" w:firstColumn="1" w:lastColumn="0" w:noHBand="0" w:noVBand="1"/>
      </w:tblPr>
      <w:tblGrid>
        <w:gridCol w:w="1046"/>
        <w:gridCol w:w="2600"/>
        <w:gridCol w:w="1386"/>
        <w:gridCol w:w="1529"/>
        <w:gridCol w:w="1586"/>
        <w:gridCol w:w="994"/>
        <w:gridCol w:w="1264"/>
      </w:tblGrid>
      <w:tr w:rsidR="007B1DE9" w14:paraId="365CD640" w14:textId="77777777" w:rsidTr="009F3DEE">
        <w:trPr>
          <w:trHeight w:val="1611"/>
        </w:trPr>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5D2E"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skupina konta</w:t>
            </w:r>
          </w:p>
        </w:tc>
        <w:tc>
          <w:tcPr>
            <w:tcW w:w="2651" w:type="dxa"/>
            <w:tcBorders>
              <w:top w:val="single" w:sz="4" w:space="0" w:color="000000"/>
              <w:bottom w:val="single" w:sz="4" w:space="0" w:color="000000"/>
              <w:right w:val="single" w:sz="4" w:space="0" w:color="000000"/>
            </w:tcBorders>
            <w:shd w:val="clear" w:color="auto" w:fill="auto"/>
            <w:vAlign w:val="center"/>
          </w:tcPr>
          <w:p w14:paraId="296B8827"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Naziv konta prihoda</w:t>
            </w:r>
          </w:p>
        </w:tc>
        <w:tc>
          <w:tcPr>
            <w:tcW w:w="1259" w:type="dxa"/>
            <w:tcBorders>
              <w:top w:val="single" w:sz="4" w:space="0" w:color="000000"/>
              <w:bottom w:val="single" w:sz="4" w:space="0" w:color="000000"/>
              <w:right w:val="single" w:sz="4" w:space="0" w:color="000000"/>
            </w:tcBorders>
            <w:shd w:val="clear" w:color="auto" w:fill="auto"/>
            <w:vAlign w:val="center"/>
          </w:tcPr>
          <w:p w14:paraId="1D52FCDD"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Izvršenje za izvještajno razdoblje prethodne godine</w:t>
            </w:r>
          </w:p>
        </w:tc>
        <w:tc>
          <w:tcPr>
            <w:tcW w:w="1562" w:type="dxa"/>
            <w:tcBorders>
              <w:top w:val="single" w:sz="4" w:space="0" w:color="000000"/>
              <w:bottom w:val="single" w:sz="4" w:space="0" w:color="000000"/>
              <w:right w:val="single" w:sz="4" w:space="0" w:color="000000"/>
            </w:tcBorders>
            <w:shd w:val="clear" w:color="auto" w:fill="auto"/>
            <w:vAlign w:val="center"/>
          </w:tcPr>
          <w:p w14:paraId="13BB62B6"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Tekući  plan</w:t>
            </w:r>
          </w:p>
        </w:tc>
        <w:tc>
          <w:tcPr>
            <w:tcW w:w="1595" w:type="dxa"/>
            <w:tcBorders>
              <w:top w:val="single" w:sz="4" w:space="0" w:color="000000"/>
              <w:bottom w:val="single" w:sz="4" w:space="0" w:color="000000"/>
              <w:right w:val="single" w:sz="4" w:space="0" w:color="000000"/>
            </w:tcBorders>
            <w:shd w:val="clear" w:color="auto" w:fill="auto"/>
            <w:vAlign w:val="center"/>
          </w:tcPr>
          <w:p w14:paraId="16C68AFB"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Izvršenje za izvještajno razdoblje</w:t>
            </w:r>
          </w:p>
        </w:tc>
        <w:tc>
          <w:tcPr>
            <w:tcW w:w="1001" w:type="dxa"/>
            <w:tcBorders>
              <w:top w:val="single" w:sz="4" w:space="0" w:color="000000"/>
              <w:bottom w:val="single" w:sz="4" w:space="0" w:color="000000"/>
              <w:right w:val="single" w:sz="4" w:space="0" w:color="000000"/>
            </w:tcBorders>
            <w:shd w:val="clear" w:color="auto" w:fill="auto"/>
            <w:vAlign w:val="center"/>
          </w:tcPr>
          <w:p w14:paraId="59CE6EC3"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indeks 5/3</w:t>
            </w:r>
          </w:p>
        </w:tc>
        <w:tc>
          <w:tcPr>
            <w:tcW w:w="1285" w:type="dxa"/>
            <w:tcBorders>
              <w:top w:val="single" w:sz="4" w:space="0" w:color="000000"/>
              <w:bottom w:val="single" w:sz="4" w:space="0" w:color="000000"/>
              <w:right w:val="single" w:sz="4" w:space="0" w:color="000000"/>
            </w:tcBorders>
            <w:shd w:val="clear" w:color="auto" w:fill="auto"/>
            <w:vAlign w:val="center"/>
          </w:tcPr>
          <w:p w14:paraId="5F7C15CA"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Indeks  5/4</w:t>
            </w:r>
          </w:p>
        </w:tc>
      </w:tr>
      <w:tr w:rsidR="007B1DE9" w14:paraId="1610A8FC" w14:textId="77777777" w:rsidTr="009F3DEE">
        <w:trPr>
          <w:trHeight w:val="322"/>
        </w:trPr>
        <w:tc>
          <w:tcPr>
            <w:tcW w:w="1052" w:type="dxa"/>
            <w:tcBorders>
              <w:left w:val="single" w:sz="4" w:space="0" w:color="000000"/>
              <w:bottom w:val="single" w:sz="4" w:space="0" w:color="000000"/>
              <w:right w:val="single" w:sz="4" w:space="0" w:color="000000"/>
            </w:tcBorders>
            <w:shd w:val="clear" w:color="auto" w:fill="auto"/>
            <w:vAlign w:val="bottom"/>
          </w:tcPr>
          <w:p w14:paraId="2294365C"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1.</w:t>
            </w:r>
          </w:p>
        </w:tc>
        <w:tc>
          <w:tcPr>
            <w:tcW w:w="2651" w:type="dxa"/>
            <w:tcBorders>
              <w:bottom w:val="single" w:sz="4" w:space="0" w:color="000000"/>
              <w:right w:val="single" w:sz="4" w:space="0" w:color="000000"/>
            </w:tcBorders>
            <w:shd w:val="clear" w:color="auto" w:fill="auto"/>
            <w:vAlign w:val="bottom"/>
          </w:tcPr>
          <w:p w14:paraId="2AF62A7C"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2.</w:t>
            </w:r>
          </w:p>
        </w:tc>
        <w:tc>
          <w:tcPr>
            <w:tcW w:w="1259" w:type="dxa"/>
            <w:tcBorders>
              <w:bottom w:val="single" w:sz="4" w:space="0" w:color="000000"/>
              <w:right w:val="single" w:sz="4" w:space="0" w:color="000000"/>
            </w:tcBorders>
            <w:shd w:val="clear" w:color="auto" w:fill="auto"/>
            <w:vAlign w:val="bottom"/>
          </w:tcPr>
          <w:p w14:paraId="40C8A054"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3.</w:t>
            </w:r>
          </w:p>
        </w:tc>
        <w:tc>
          <w:tcPr>
            <w:tcW w:w="1562" w:type="dxa"/>
            <w:tcBorders>
              <w:bottom w:val="single" w:sz="4" w:space="0" w:color="000000"/>
              <w:right w:val="single" w:sz="4" w:space="0" w:color="000000"/>
            </w:tcBorders>
            <w:shd w:val="clear" w:color="auto" w:fill="auto"/>
            <w:vAlign w:val="bottom"/>
          </w:tcPr>
          <w:p w14:paraId="6BBB82B7"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4.</w:t>
            </w:r>
          </w:p>
        </w:tc>
        <w:tc>
          <w:tcPr>
            <w:tcW w:w="1595" w:type="dxa"/>
            <w:tcBorders>
              <w:bottom w:val="single" w:sz="4" w:space="0" w:color="000000"/>
              <w:right w:val="single" w:sz="4" w:space="0" w:color="000000"/>
            </w:tcBorders>
            <w:shd w:val="clear" w:color="auto" w:fill="FFFFFF"/>
            <w:vAlign w:val="bottom"/>
          </w:tcPr>
          <w:p w14:paraId="13929C45"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5.</w:t>
            </w:r>
          </w:p>
        </w:tc>
        <w:tc>
          <w:tcPr>
            <w:tcW w:w="1001" w:type="dxa"/>
            <w:tcBorders>
              <w:bottom w:val="single" w:sz="4" w:space="0" w:color="000000"/>
              <w:right w:val="single" w:sz="4" w:space="0" w:color="000000"/>
            </w:tcBorders>
            <w:shd w:val="clear" w:color="auto" w:fill="auto"/>
            <w:vAlign w:val="bottom"/>
          </w:tcPr>
          <w:p w14:paraId="7A81CB38"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6.</w:t>
            </w:r>
          </w:p>
        </w:tc>
        <w:tc>
          <w:tcPr>
            <w:tcW w:w="1285" w:type="dxa"/>
            <w:tcBorders>
              <w:bottom w:val="single" w:sz="4" w:space="0" w:color="000000"/>
              <w:right w:val="single" w:sz="4" w:space="0" w:color="000000"/>
            </w:tcBorders>
            <w:shd w:val="clear" w:color="auto" w:fill="auto"/>
            <w:vAlign w:val="bottom"/>
          </w:tcPr>
          <w:p w14:paraId="605E2079" w14:textId="77777777" w:rsidR="007B1DE9" w:rsidRDefault="00096288">
            <w:pPr>
              <w:spacing w:after="0" w:line="240" w:lineRule="auto"/>
              <w:jc w:val="center"/>
              <w:rPr>
                <w:rFonts w:ascii="Calibri" w:eastAsia="Times New Roman" w:hAnsi="Calibri" w:cs="Calibri"/>
                <w:color w:val="000000"/>
                <w:sz w:val="18"/>
                <w:szCs w:val="18"/>
                <w:lang w:eastAsia="hr-HR"/>
              </w:rPr>
            </w:pPr>
            <w:r>
              <w:rPr>
                <w:rFonts w:eastAsia="Times New Roman" w:cs="Calibri"/>
                <w:color w:val="000000"/>
                <w:sz w:val="18"/>
                <w:szCs w:val="18"/>
                <w:lang w:eastAsia="hr-HR"/>
              </w:rPr>
              <w:t>7.</w:t>
            </w:r>
          </w:p>
        </w:tc>
      </w:tr>
      <w:tr w:rsidR="007B1DE9" w14:paraId="730CEC28" w14:textId="77777777" w:rsidTr="009F3DEE">
        <w:trPr>
          <w:trHeight w:val="322"/>
        </w:trPr>
        <w:tc>
          <w:tcPr>
            <w:tcW w:w="1052" w:type="dxa"/>
            <w:tcBorders>
              <w:left w:val="single" w:sz="4" w:space="0" w:color="000000"/>
              <w:bottom w:val="single" w:sz="4" w:space="0" w:color="000000"/>
              <w:right w:val="single" w:sz="4" w:space="0" w:color="000000"/>
            </w:tcBorders>
            <w:shd w:val="clear" w:color="auto" w:fill="auto"/>
            <w:vAlign w:val="bottom"/>
          </w:tcPr>
          <w:p w14:paraId="182F9C06"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31</w:t>
            </w:r>
          </w:p>
        </w:tc>
        <w:tc>
          <w:tcPr>
            <w:tcW w:w="2651" w:type="dxa"/>
            <w:tcBorders>
              <w:bottom w:val="single" w:sz="4" w:space="0" w:color="000000"/>
              <w:right w:val="single" w:sz="4" w:space="0" w:color="000000"/>
            </w:tcBorders>
            <w:shd w:val="clear" w:color="auto" w:fill="auto"/>
            <w:vAlign w:val="bottom"/>
          </w:tcPr>
          <w:p w14:paraId="758148CD"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Rashodi za zaposlene</w:t>
            </w:r>
          </w:p>
        </w:tc>
        <w:tc>
          <w:tcPr>
            <w:tcW w:w="1259" w:type="dxa"/>
            <w:tcBorders>
              <w:bottom w:val="single" w:sz="4" w:space="0" w:color="000000"/>
              <w:right w:val="single" w:sz="4" w:space="0" w:color="000000"/>
            </w:tcBorders>
            <w:shd w:val="clear" w:color="auto" w:fill="auto"/>
            <w:vAlign w:val="bottom"/>
          </w:tcPr>
          <w:p w14:paraId="7BD2CA45" w14:textId="0F254CE3" w:rsidR="007B1DE9" w:rsidRDefault="00300CB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981.317,92</w:t>
            </w:r>
          </w:p>
        </w:tc>
        <w:tc>
          <w:tcPr>
            <w:tcW w:w="1562" w:type="dxa"/>
            <w:tcBorders>
              <w:bottom w:val="single" w:sz="4" w:space="0" w:color="000000"/>
              <w:right w:val="single" w:sz="4" w:space="0" w:color="000000"/>
            </w:tcBorders>
            <w:shd w:val="clear" w:color="auto" w:fill="auto"/>
            <w:vAlign w:val="bottom"/>
          </w:tcPr>
          <w:p w14:paraId="60A6A530" w14:textId="4DF5FF71" w:rsidR="007B1DE9" w:rsidRDefault="007B1DE9" w:rsidP="00D9566C">
            <w:pPr>
              <w:spacing w:after="0" w:line="240" w:lineRule="auto"/>
              <w:jc w:val="center"/>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741C0078" w14:textId="652B83D9"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1.272.064,50</w:t>
            </w:r>
          </w:p>
        </w:tc>
        <w:tc>
          <w:tcPr>
            <w:tcW w:w="1001" w:type="dxa"/>
            <w:tcBorders>
              <w:bottom w:val="single" w:sz="4" w:space="0" w:color="000000"/>
              <w:right w:val="single" w:sz="4" w:space="0" w:color="000000"/>
            </w:tcBorders>
            <w:shd w:val="clear" w:color="auto" w:fill="auto"/>
            <w:vAlign w:val="bottom"/>
          </w:tcPr>
          <w:p w14:paraId="714AFA38" w14:textId="70D24111" w:rsidR="007B1DE9" w:rsidRDefault="009F3DEE">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129,63</w:t>
            </w:r>
          </w:p>
        </w:tc>
        <w:tc>
          <w:tcPr>
            <w:tcW w:w="1285" w:type="dxa"/>
            <w:tcBorders>
              <w:bottom w:val="single" w:sz="4" w:space="0" w:color="000000"/>
              <w:right w:val="single" w:sz="4" w:space="0" w:color="000000"/>
            </w:tcBorders>
            <w:shd w:val="clear" w:color="auto" w:fill="auto"/>
            <w:vAlign w:val="bottom"/>
          </w:tcPr>
          <w:p w14:paraId="646E35A5" w14:textId="3B6BDE22" w:rsidR="007B1DE9" w:rsidRDefault="007B1DE9">
            <w:pPr>
              <w:spacing w:after="0" w:line="240" w:lineRule="auto"/>
              <w:jc w:val="right"/>
              <w:rPr>
                <w:rFonts w:ascii="Calibri" w:eastAsia="Times New Roman" w:hAnsi="Calibri" w:cs="Calibri"/>
                <w:color w:val="000000"/>
                <w:lang w:eastAsia="hr-HR"/>
              </w:rPr>
            </w:pPr>
          </w:p>
        </w:tc>
      </w:tr>
      <w:tr w:rsidR="007B1DE9" w14:paraId="7591C74E" w14:textId="77777777" w:rsidTr="009F3DEE">
        <w:trPr>
          <w:trHeight w:val="322"/>
        </w:trPr>
        <w:tc>
          <w:tcPr>
            <w:tcW w:w="1052" w:type="dxa"/>
            <w:tcBorders>
              <w:left w:val="single" w:sz="4" w:space="0" w:color="000000"/>
              <w:bottom w:val="single" w:sz="4" w:space="0" w:color="000000"/>
              <w:right w:val="single" w:sz="4" w:space="0" w:color="000000"/>
            </w:tcBorders>
            <w:shd w:val="clear" w:color="auto" w:fill="auto"/>
            <w:vAlign w:val="bottom"/>
          </w:tcPr>
          <w:p w14:paraId="51CCA5FA"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32</w:t>
            </w:r>
          </w:p>
        </w:tc>
        <w:tc>
          <w:tcPr>
            <w:tcW w:w="2651" w:type="dxa"/>
            <w:tcBorders>
              <w:bottom w:val="single" w:sz="4" w:space="0" w:color="000000"/>
              <w:right w:val="single" w:sz="4" w:space="0" w:color="000000"/>
            </w:tcBorders>
            <w:shd w:val="clear" w:color="auto" w:fill="auto"/>
            <w:vAlign w:val="bottom"/>
          </w:tcPr>
          <w:p w14:paraId="330853F1"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Materijalni rashodi</w:t>
            </w:r>
          </w:p>
        </w:tc>
        <w:tc>
          <w:tcPr>
            <w:tcW w:w="1259" w:type="dxa"/>
            <w:tcBorders>
              <w:bottom w:val="single" w:sz="4" w:space="0" w:color="000000"/>
              <w:right w:val="single" w:sz="4" w:space="0" w:color="000000"/>
            </w:tcBorders>
            <w:shd w:val="clear" w:color="auto" w:fill="auto"/>
            <w:vAlign w:val="bottom"/>
          </w:tcPr>
          <w:p w14:paraId="61892282" w14:textId="40A2F158"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259.506,11</w:t>
            </w:r>
          </w:p>
        </w:tc>
        <w:tc>
          <w:tcPr>
            <w:tcW w:w="1562" w:type="dxa"/>
            <w:tcBorders>
              <w:bottom w:val="single" w:sz="4" w:space="0" w:color="000000"/>
              <w:right w:val="single" w:sz="4" w:space="0" w:color="000000"/>
            </w:tcBorders>
            <w:shd w:val="clear" w:color="auto" w:fill="auto"/>
            <w:vAlign w:val="bottom"/>
          </w:tcPr>
          <w:p w14:paraId="64FDCCE3" w14:textId="71556B96" w:rsidR="007B1DE9" w:rsidRDefault="007B1DE9">
            <w:pPr>
              <w:spacing w:after="0" w:line="240" w:lineRule="auto"/>
              <w:jc w:val="right"/>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77A9FD5F" w14:textId="66B597A8"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297.416,26</w:t>
            </w:r>
          </w:p>
        </w:tc>
        <w:tc>
          <w:tcPr>
            <w:tcW w:w="1001" w:type="dxa"/>
            <w:tcBorders>
              <w:bottom w:val="single" w:sz="4" w:space="0" w:color="000000"/>
              <w:right w:val="single" w:sz="4" w:space="0" w:color="000000"/>
            </w:tcBorders>
            <w:shd w:val="clear" w:color="auto" w:fill="auto"/>
            <w:vAlign w:val="bottom"/>
          </w:tcPr>
          <w:p w14:paraId="4F6A2EB4" w14:textId="1608B27D" w:rsidR="007B1DE9" w:rsidRDefault="009F3DEE">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114,61</w:t>
            </w:r>
          </w:p>
        </w:tc>
        <w:tc>
          <w:tcPr>
            <w:tcW w:w="1285" w:type="dxa"/>
            <w:tcBorders>
              <w:bottom w:val="single" w:sz="4" w:space="0" w:color="000000"/>
              <w:right w:val="single" w:sz="4" w:space="0" w:color="000000"/>
            </w:tcBorders>
            <w:shd w:val="clear" w:color="auto" w:fill="auto"/>
            <w:vAlign w:val="bottom"/>
          </w:tcPr>
          <w:p w14:paraId="378E9FB5" w14:textId="031E141C" w:rsidR="007B1DE9" w:rsidRDefault="007B1DE9">
            <w:pPr>
              <w:spacing w:after="0" w:line="240" w:lineRule="auto"/>
              <w:jc w:val="right"/>
              <w:rPr>
                <w:rFonts w:ascii="Calibri" w:eastAsia="Times New Roman" w:hAnsi="Calibri" w:cs="Calibri"/>
                <w:color w:val="000000"/>
                <w:lang w:eastAsia="hr-HR"/>
              </w:rPr>
            </w:pPr>
          </w:p>
        </w:tc>
      </w:tr>
      <w:tr w:rsidR="007B1DE9" w14:paraId="3031E76A" w14:textId="77777777" w:rsidTr="009F3DEE">
        <w:trPr>
          <w:trHeight w:val="322"/>
        </w:trPr>
        <w:tc>
          <w:tcPr>
            <w:tcW w:w="1052" w:type="dxa"/>
            <w:tcBorders>
              <w:left w:val="single" w:sz="4" w:space="0" w:color="000000"/>
              <w:bottom w:val="single" w:sz="4" w:space="0" w:color="000000"/>
              <w:right w:val="single" w:sz="4" w:space="0" w:color="000000"/>
            </w:tcBorders>
            <w:shd w:val="clear" w:color="auto" w:fill="auto"/>
            <w:vAlign w:val="bottom"/>
          </w:tcPr>
          <w:p w14:paraId="7497F265"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34</w:t>
            </w:r>
          </w:p>
        </w:tc>
        <w:tc>
          <w:tcPr>
            <w:tcW w:w="2651" w:type="dxa"/>
            <w:tcBorders>
              <w:bottom w:val="single" w:sz="4" w:space="0" w:color="000000"/>
              <w:right w:val="single" w:sz="4" w:space="0" w:color="000000"/>
            </w:tcBorders>
            <w:shd w:val="clear" w:color="auto" w:fill="auto"/>
            <w:vAlign w:val="bottom"/>
          </w:tcPr>
          <w:p w14:paraId="043AFEA9"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Financijski rashodi</w:t>
            </w:r>
          </w:p>
        </w:tc>
        <w:tc>
          <w:tcPr>
            <w:tcW w:w="1259" w:type="dxa"/>
            <w:tcBorders>
              <w:bottom w:val="single" w:sz="4" w:space="0" w:color="000000"/>
              <w:right w:val="single" w:sz="4" w:space="0" w:color="000000"/>
            </w:tcBorders>
            <w:shd w:val="clear" w:color="auto" w:fill="auto"/>
            <w:vAlign w:val="bottom"/>
          </w:tcPr>
          <w:p w14:paraId="66485782" w14:textId="4B461DC9"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562" w:type="dxa"/>
            <w:tcBorders>
              <w:bottom w:val="single" w:sz="4" w:space="0" w:color="000000"/>
              <w:right w:val="single" w:sz="4" w:space="0" w:color="000000"/>
            </w:tcBorders>
            <w:shd w:val="clear" w:color="auto" w:fill="auto"/>
            <w:vAlign w:val="bottom"/>
          </w:tcPr>
          <w:p w14:paraId="00520653" w14:textId="750D5C04" w:rsidR="007B1DE9" w:rsidRDefault="007B1DE9">
            <w:pPr>
              <w:spacing w:after="0" w:line="240" w:lineRule="auto"/>
              <w:jc w:val="right"/>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65C94770" w14:textId="03F909B8"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514,57</w:t>
            </w:r>
          </w:p>
        </w:tc>
        <w:tc>
          <w:tcPr>
            <w:tcW w:w="1001" w:type="dxa"/>
            <w:tcBorders>
              <w:bottom w:val="single" w:sz="4" w:space="0" w:color="000000"/>
              <w:right w:val="single" w:sz="4" w:space="0" w:color="000000"/>
            </w:tcBorders>
            <w:shd w:val="clear" w:color="auto" w:fill="auto"/>
            <w:vAlign w:val="bottom"/>
          </w:tcPr>
          <w:p w14:paraId="75C670BF" w14:textId="77777777" w:rsidR="007B1DE9" w:rsidRDefault="00096288">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0,00</w:t>
            </w:r>
          </w:p>
        </w:tc>
        <w:tc>
          <w:tcPr>
            <w:tcW w:w="1285" w:type="dxa"/>
            <w:tcBorders>
              <w:bottom w:val="single" w:sz="4" w:space="0" w:color="000000"/>
              <w:right w:val="single" w:sz="4" w:space="0" w:color="000000"/>
            </w:tcBorders>
            <w:shd w:val="clear" w:color="auto" w:fill="auto"/>
            <w:vAlign w:val="bottom"/>
          </w:tcPr>
          <w:p w14:paraId="58E04E8A" w14:textId="33F62B4C" w:rsidR="007B1DE9" w:rsidRDefault="007B1DE9">
            <w:pPr>
              <w:spacing w:after="0" w:line="240" w:lineRule="auto"/>
              <w:jc w:val="right"/>
              <w:rPr>
                <w:rFonts w:ascii="Calibri" w:eastAsia="Times New Roman" w:hAnsi="Calibri" w:cs="Calibri"/>
                <w:color w:val="000000"/>
                <w:lang w:eastAsia="hr-HR"/>
              </w:rPr>
            </w:pPr>
          </w:p>
        </w:tc>
      </w:tr>
      <w:tr w:rsidR="007B1DE9" w14:paraId="2447E0C1" w14:textId="77777777" w:rsidTr="009F3DEE">
        <w:trPr>
          <w:trHeight w:val="967"/>
        </w:trPr>
        <w:tc>
          <w:tcPr>
            <w:tcW w:w="1052" w:type="dxa"/>
            <w:tcBorders>
              <w:left w:val="single" w:sz="4" w:space="0" w:color="000000"/>
              <w:bottom w:val="single" w:sz="4" w:space="0" w:color="000000"/>
              <w:right w:val="single" w:sz="4" w:space="0" w:color="000000"/>
            </w:tcBorders>
            <w:shd w:val="clear" w:color="auto" w:fill="auto"/>
            <w:vAlign w:val="bottom"/>
          </w:tcPr>
          <w:p w14:paraId="05879AD6"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37</w:t>
            </w:r>
          </w:p>
        </w:tc>
        <w:tc>
          <w:tcPr>
            <w:tcW w:w="2651" w:type="dxa"/>
            <w:tcBorders>
              <w:bottom w:val="single" w:sz="4" w:space="0" w:color="000000"/>
              <w:right w:val="single" w:sz="4" w:space="0" w:color="000000"/>
            </w:tcBorders>
            <w:shd w:val="clear" w:color="auto" w:fill="auto"/>
            <w:vAlign w:val="bottom"/>
          </w:tcPr>
          <w:p w14:paraId="3E4BC89A"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Naknade građanima i kućanstvima na temelju osiguranja i druge naknade</w:t>
            </w:r>
          </w:p>
        </w:tc>
        <w:tc>
          <w:tcPr>
            <w:tcW w:w="1259" w:type="dxa"/>
            <w:tcBorders>
              <w:bottom w:val="single" w:sz="4" w:space="0" w:color="000000"/>
              <w:right w:val="single" w:sz="4" w:space="0" w:color="000000"/>
            </w:tcBorders>
            <w:shd w:val="clear" w:color="auto" w:fill="auto"/>
            <w:vAlign w:val="bottom"/>
          </w:tcPr>
          <w:p w14:paraId="7C5B9302" w14:textId="5F829B21" w:rsidR="007B1DE9" w:rsidRDefault="00D9566C">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21.</w:t>
            </w:r>
            <w:r w:rsidR="009F3DEE">
              <w:rPr>
                <w:rFonts w:ascii="Calibri" w:eastAsia="Times New Roman" w:hAnsi="Calibri" w:cs="Calibri"/>
                <w:color w:val="000000"/>
                <w:lang w:eastAsia="hr-HR"/>
              </w:rPr>
              <w:t>465,16</w:t>
            </w:r>
          </w:p>
        </w:tc>
        <w:tc>
          <w:tcPr>
            <w:tcW w:w="1562" w:type="dxa"/>
            <w:tcBorders>
              <w:bottom w:val="single" w:sz="4" w:space="0" w:color="000000"/>
              <w:right w:val="single" w:sz="4" w:space="0" w:color="000000"/>
            </w:tcBorders>
            <w:shd w:val="clear" w:color="auto" w:fill="auto"/>
            <w:vAlign w:val="bottom"/>
          </w:tcPr>
          <w:p w14:paraId="6023B67A" w14:textId="1C8FEF7B" w:rsidR="007B1DE9" w:rsidRDefault="007B1DE9">
            <w:pPr>
              <w:spacing w:after="0" w:line="240" w:lineRule="auto"/>
              <w:jc w:val="right"/>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551C3ECF" w14:textId="0C642DBB"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19.663,10</w:t>
            </w:r>
          </w:p>
        </w:tc>
        <w:tc>
          <w:tcPr>
            <w:tcW w:w="1001" w:type="dxa"/>
            <w:tcBorders>
              <w:bottom w:val="single" w:sz="4" w:space="0" w:color="000000"/>
              <w:right w:val="single" w:sz="4" w:space="0" w:color="000000"/>
            </w:tcBorders>
            <w:shd w:val="clear" w:color="auto" w:fill="auto"/>
            <w:vAlign w:val="bottom"/>
          </w:tcPr>
          <w:p w14:paraId="37A278E5" w14:textId="3C648096" w:rsidR="007B1DE9" w:rsidRDefault="009F3DEE">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91,60</w:t>
            </w:r>
          </w:p>
        </w:tc>
        <w:tc>
          <w:tcPr>
            <w:tcW w:w="1285" w:type="dxa"/>
            <w:tcBorders>
              <w:bottom w:val="single" w:sz="4" w:space="0" w:color="000000"/>
              <w:right w:val="single" w:sz="4" w:space="0" w:color="000000"/>
            </w:tcBorders>
            <w:shd w:val="clear" w:color="auto" w:fill="auto"/>
            <w:vAlign w:val="bottom"/>
          </w:tcPr>
          <w:p w14:paraId="6F04C008" w14:textId="05E7D423" w:rsidR="007B1DE9" w:rsidRDefault="007B1DE9">
            <w:pPr>
              <w:spacing w:after="0" w:line="240" w:lineRule="auto"/>
              <w:jc w:val="right"/>
              <w:rPr>
                <w:rFonts w:ascii="Calibri" w:eastAsia="Times New Roman" w:hAnsi="Calibri" w:cs="Calibri"/>
                <w:color w:val="000000"/>
                <w:lang w:eastAsia="hr-HR"/>
              </w:rPr>
            </w:pPr>
          </w:p>
        </w:tc>
      </w:tr>
      <w:tr w:rsidR="007B1DE9" w14:paraId="2170A61E" w14:textId="77777777" w:rsidTr="009F3DEE">
        <w:trPr>
          <w:trHeight w:val="322"/>
        </w:trPr>
        <w:tc>
          <w:tcPr>
            <w:tcW w:w="1052" w:type="dxa"/>
            <w:tcBorders>
              <w:left w:val="single" w:sz="4" w:space="0" w:color="000000"/>
              <w:bottom w:val="single" w:sz="4" w:space="0" w:color="000000"/>
              <w:right w:val="single" w:sz="4" w:space="0" w:color="000000"/>
            </w:tcBorders>
            <w:shd w:val="clear" w:color="auto" w:fill="auto"/>
            <w:vAlign w:val="bottom"/>
          </w:tcPr>
          <w:p w14:paraId="74860AAD"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38</w:t>
            </w:r>
          </w:p>
        </w:tc>
        <w:tc>
          <w:tcPr>
            <w:tcW w:w="2651" w:type="dxa"/>
            <w:tcBorders>
              <w:bottom w:val="single" w:sz="4" w:space="0" w:color="000000"/>
              <w:right w:val="single" w:sz="4" w:space="0" w:color="000000"/>
            </w:tcBorders>
            <w:shd w:val="clear" w:color="auto" w:fill="auto"/>
            <w:vAlign w:val="bottom"/>
          </w:tcPr>
          <w:p w14:paraId="55548263"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Ostali rashodi</w:t>
            </w:r>
          </w:p>
        </w:tc>
        <w:tc>
          <w:tcPr>
            <w:tcW w:w="1259" w:type="dxa"/>
            <w:tcBorders>
              <w:bottom w:val="single" w:sz="4" w:space="0" w:color="000000"/>
              <w:right w:val="single" w:sz="4" w:space="0" w:color="000000"/>
            </w:tcBorders>
            <w:shd w:val="clear" w:color="auto" w:fill="auto"/>
            <w:vAlign w:val="bottom"/>
          </w:tcPr>
          <w:p w14:paraId="261AED67" w14:textId="79B347F8"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669,19</w:t>
            </w:r>
          </w:p>
        </w:tc>
        <w:tc>
          <w:tcPr>
            <w:tcW w:w="1562" w:type="dxa"/>
            <w:tcBorders>
              <w:bottom w:val="single" w:sz="4" w:space="0" w:color="000000"/>
              <w:right w:val="single" w:sz="4" w:space="0" w:color="000000"/>
            </w:tcBorders>
            <w:shd w:val="clear" w:color="auto" w:fill="auto"/>
            <w:vAlign w:val="bottom"/>
          </w:tcPr>
          <w:p w14:paraId="72124F4C" w14:textId="58E2F60F" w:rsidR="007B1DE9" w:rsidRDefault="007B1DE9">
            <w:pPr>
              <w:spacing w:after="0" w:line="240" w:lineRule="auto"/>
              <w:jc w:val="right"/>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4379105E" w14:textId="0AD8AC51"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745,04</w:t>
            </w:r>
          </w:p>
        </w:tc>
        <w:tc>
          <w:tcPr>
            <w:tcW w:w="1001" w:type="dxa"/>
            <w:tcBorders>
              <w:bottom w:val="single" w:sz="4" w:space="0" w:color="000000"/>
              <w:right w:val="single" w:sz="4" w:space="0" w:color="000000"/>
            </w:tcBorders>
            <w:shd w:val="clear" w:color="auto" w:fill="auto"/>
            <w:vAlign w:val="bottom"/>
          </w:tcPr>
          <w:p w14:paraId="1675C66F" w14:textId="75E9150C" w:rsidR="007B1DE9" w:rsidRDefault="009F3DEE">
            <w:pPr>
              <w:spacing w:after="0" w:line="240" w:lineRule="auto"/>
              <w:jc w:val="right"/>
              <w:rPr>
                <w:rFonts w:ascii="Calibri" w:eastAsia="Times New Roman" w:hAnsi="Calibri" w:cs="Calibri"/>
                <w:color w:val="000000"/>
                <w:lang w:eastAsia="hr-HR"/>
              </w:rPr>
            </w:pPr>
            <w:r>
              <w:rPr>
                <w:rFonts w:eastAsia="Times New Roman" w:cs="Calibri"/>
                <w:color w:val="000000"/>
                <w:lang w:eastAsia="hr-HR"/>
              </w:rPr>
              <w:t>111,33</w:t>
            </w:r>
          </w:p>
        </w:tc>
        <w:tc>
          <w:tcPr>
            <w:tcW w:w="1285" w:type="dxa"/>
            <w:tcBorders>
              <w:bottom w:val="single" w:sz="4" w:space="0" w:color="000000"/>
              <w:right w:val="single" w:sz="4" w:space="0" w:color="000000"/>
            </w:tcBorders>
            <w:shd w:val="clear" w:color="auto" w:fill="auto"/>
            <w:vAlign w:val="bottom"/>
          </w:tcPr>
          <w:p w14:paraId="3F4A5376" w14:textId="29C1FECF" w:rsidR="007B1DE9" w:rsidRDefault="007B1DE9">
            <w:pPr>
              <w:spacing w:after="0" w:line="240" w:lineRule="auto"/>
              <w:jc w:val="right"/>
              <w:rPr>
                <w:rFonts w:ascii="Calibri" w:eastAsia="Times New Roman" w:hAnsi="Calibri" w:cs="Calibri"/>
                <w:color w:val="000000"/>
                <w:lang w:eastAsia="hr-HR"/>
              </w:rPr>
            </w:pPr>
          </w:p>
        </w:tc>
      </w:tr>
      <w:tr w:rsidR="007B1DE9" w14:paraId="250A5A1E" w14:textId="77777777" w:rsidTr="009F3DEE">
        <w:trPr>
          <w:trHeight w:val="644"/>
        </w:trPr>
        <w:tc>
          <w:tcPr>
            <w:tcW w:w="1052" w:type="dxa"/>
            <w:tcBorders>
              <w:left w:val="single" w:sz="4" w:space="0" w:color="000000"/>
              <w:right w:val="single" w:sz="4" w:space="0" w:color="000000"/>
            </w:tcBorders>
            <w:shd w:val="clear" w:color="auto" w:fill="auto"/>
            <w:vAlign w:val="bottom"/>
          </w:tcPr>
          <w:p w14:paraId="79A194FA" w14:textId="77777777" w:rsidR="007B1DE9" w:rsidRDefault="00096288">
            <w:pPr>
              <w:spacing w:after="0" w:line="240" w:lineRule="auto"/>
              <w:jc w:val="center"/>
              <w:rPr>
                <w:rFonts w:ascii="Calibri" w:eastAsia="Times New Roman" w:hAnsi="Calibri" w:cs="Calibri"/>
                <w:color w:val="000000"/>
                <w:lang w:eastAsia="hr-HR"/>
              </w:rPr>
            </w:pPr>
            <w:r>
              <w:rPr>
                <w:rFonts w:eastAsia="Times New Roman" w:cs="Calibri"/>
                <w:color w:val="000000"/>
                <w:lang w:eastAsia="hr-HR"/>
              </w:rPr>
              <w:t>42</w:t>
            </w:r>
          </w:p>
        </w:tc>
        <w:tc>
          <w:tcPr>
            <w:tcW w:w="2651" w:type="dxa"/>
            <w:tcBorders>
              <w:right w:val="single" w:sz="4" w:space="0" w:color="000000"/>
            </w:tcBorders>
            <w:shd w:val="clear" w:color="auto" w:fill="auto"/>
            <w:vAlign w:val="bottom"/>
          </w:tcPr>
          <w:p w14:paraId="46DD30FB" w14:textId="77777777" w:rsidR="007B1DE9" w:rsidRDefault="00096288">
            <w:pPr>
              <w:spacing w:after="0" w:line="240" w:lineRule="auto"/>
              <w:rPr>
                <w:rFonts w:ascii="Calibri" w:eastAsia="Times New Roman" w:hAnsi="Calibri" w:cs="Calibri"/>
                <w:color w:val="000000"/>
                <w:lang w:eastAsia="hr-HR"/>
              </w:rPr>
            </w:pPr>
            <w:r>
              <w:rPr>
                <w:rFonts w:eastAsia="Times New Roman" w:cs="Calibri"/>
                <w:color w:val="000000"/>
                <w:lang w:eastAsia="hr-HR"/>
              </w:rPr>
              <w:t>Rashodi za nabavu proizvedene imovine</w:t>
            </w:r>
          </w:p>
        </w:tc>
        <w:tc>
          <w:tcPr>
            <w:tcW w:w="1259" w:type="dxa"/>
            <w:tcBorders>
              <w:right w:val="single" w:sz="4" w:space="0" w:color="000000"/>
            </w:tcBorders>
            <w:shd w:val="clear" w:color="auto" w:fill="auto"/>
            <w:vAlign w:val="bottom"/>
          </w:tcPr>
          <w:p w14:paraId="2EACF842" w14:textId="23D4A84E"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32.181,79</w:t>
            </w:r>
          </w:p>
        </w:tc>
        <w:tc>
          <w:tcPr>
            <w:tcW w:w="1562" w:type="dxa"/>
            <w:tcBorders>
              <w:right w:val="single" w:sz="4" w:space="0" w:color="000000"/>
            </w:tcBorders>
            <w:shd w:val="clear" w:color="auto" w:fill="auto"/>
            <w:vAlign w:val="bottom"/>
          </w:tcPr>
          <w:p w14:paraId="3CBCC51B" w14:textId="16067604" w:rsidR="007B1DE9" w:rsidRDefault="007B1DE9">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30E28170" w14:textId="0593D27D"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42.942,14</w:t>
            </w:r>
          </w:p>
        </w:tc>
        <w:tc>
          <w:tcPr>
            <w:tcW w:w="1001" w:type="dxa"/>
            <w:tcBorders>
              <w:right w:val="single" w:sz="4" w:space="0" w:color="000000"/>
            </w:tcBorders>
            <w:shd w:val="clear" w:color="auto" w:fill="auto"/>
            <w:vAlign w:val="bottom"/>
          </w:tcPr>
          <w:p w14:paraId="7C8C7D5A" w14:textId="51570757" w:rsidR="007B1DE9"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133,44</w:t>
            </w:r>
          </w:p>
        </w:tc>
        <w:tc>
          <w:tcPr>
            <w:tcW w:w="1285" w:type="dxa"/>
            <w:tcBorders>
              <w:right w:val="single" w:sz="4" w:space="0" w:color="000000"/>
            </w:tcBorders>
            <w:shd w:val="clear" w:color="auto" w:fill="auto"/>
            <w:vAlign w:val="bottom"/>
          </w:tcPr>
          <w:p w14:paraId="34B1D377" w14:textId="1259189A" w:rsidR="007B1DE9" w:rsidRDefault="007B1DE9">
            <w:pPr>
              <w:spacing w:after="0" w:line="240" w:lineRule="auto"/>
              <w:jc w:val="right"/>
              <w:rPr>
                <w:rFonts w:ascii="Calibri" w:eastAsia="Times New Roman" w:hAnsi="Calibri" w:cs="Calibri"/>
                <w:color w:val="000000"/>
                <w:lang w:eastAsia="hr-HR"/>
              </w:rPr>
            </w:pPr>
          </w:p>
        </w:tc>
      </w:tr>
      <w:tr w:rsidR="009F3DEE" w14:paraId="082B29A4" w14:textId="77777777" w:rsidTr="009F3DEE">
        <w:trPr>
          <w:trHeight w:val="644"/>
        </w:trPr>
        <w:tc>
          <w:tcPr>
            <w:tcW w:w="1052" w:type="dxa"/>
            <w:tcBorders>
              <w:left w:val="single" w:sz="4" w:space="0" w:color="000000"/>
              <w:right w:val="single" w:sz="4" w:space="0" w:color="000000"/>
            </w:tcBorders>
            <w:shd w:val="clear" w:color="auto" w:fill="auto"/>
            <w:vAlign w:val="bottom"/>
          </w:tcPr>
          <w:p w14:paraId="3B0DFF7F" w14:textId="22550CFA" w:rsidR="009F3DEE" w:rsidRDefault="009F3DEE">
            <w:pPr>
              <w:spacing w:after="0" w:line="240" w:lineRule="auto"/>
              <w:jc w:val="center"/>
              <w:rPr>
                <w:rFonts w:eastAsia="Times New Roman" w:cs="Calibri"/>
                <w:color w:val="000000"/>
                <w:lang w:eastAsia="hr-HR"/>
              </w:rPr>
            </w:pPr>
            <w:r>
              <w:rPr>
                <w:rFonts w:eastAsia="Times New Roman" w:cs="Calibri"/>
                <w:color w:val="000000"/>
                <w:lang w:eastAsia="hr-HR"/>
              </w:rPr>
              <w:t>45</w:t>
            </w:r>
          </w:p>
        </w:tc>
        <w:tc>
          <w:tcPr>
            <w:tcW w:w="2651" w:type="dxa"/>
            <w:tcBorders>
              <w:right w:val="single" w:sz="4" w:space="0" w:color="000000"/>
            </w:tcBorders>
            <w:shd w:val="clear" w:color="auto" w:fill="auto"/>
            <w:vAlign w:val="bottom"/>
          </w:tcPr>
          <w:p w14:paraId="2447569E" w14:textId="77777777" w:rsidR="009F3DEE" w:rsidRDefault="009F3DEE">
            <w:pPr>
              <w:spacing w:after="0" w:line="240" w:lineRule="auto"/>
              <w:rPr>
                <w:rFonts w:eastAsia="Times New Roman" w:cs="Calibri"/>
                <w:color w:val="000000"/>
                <w:lang w:eastAsia="hr-HR"/>
              </w:rPr>
            </w:pPr>
          </w:p>
          <w:p w14:paraId="31DD3E3E" w14:textId="77777777" w:rsidR="009F3DEE" w:rsidRDefault="009F3DEE">
            <w:pPr>
              <w:spacing w:after="0" w:line="240" w:lineRule="auto"/>
              <w:rPr>
                <w:rFonts w:eastAsia="Times New Roman" w:cs="Calibri"/>
                <w:color w:val="000000"/>
                <w:lang w:eastAsia="hr-HR"/>
              </w:rPr>
            </w:pPr>
          </w:p>
          <w:p w14:paraId="230F7312" w14:textId="5FD2B7AC" w:rsidR="009F3DEE" w:rsidRDefault="009F3DEE">
            <w:pPr>
              <w:spacing w:after="0" w:line="240" w:lineRule="auto"/>
              <w:rPr>
                <w:rFonts w:eastAsia="Times New Roman" w:cs="Calibri"/>
                <w:color w:val="000000"/>
                <w:lang w:eastAsia="hr-HR"/>
              </w:rPr>
            </w:pPr>
            <w:r>
              <w:rPr>
                <w:rFonts w:eastAsia="Times New Roman" w:cs="Calibri"/>
                <w:color w:val="000000"/>
                <w:lang w:eastAsia="hr-HR"/>
              </w:rPr>
              <w:t>Rashodi za dodatna ulaganja na nefinancijskoj imovini</w:t>
            </w:r>
          </w:p>
        </w:tc>
        <w:tc>
          <w:tcPr>
            <w:tcW w:w="1259" w:type="dxa"/>
            <w:tcBorders>
              <w:right w:val="single" w:sz="4" w:space="0" w:color="000000"/>
            </w:tcBorders>
            <w:shd w:val="clear" w:color="auto" w:fill="auto"/>
            <w:vAlign w:val="bottom"/>
          </w:tcPr>
          <w:p w14:paraId="22BE3B67" w14:textId="218EDFC9" w:rsidR="009F3DEE"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562" w:type="dxa"/>
            <w:tcBorders>
              <w:right w:val="single" w:sz="4" w:space="0" w:color="000000"/>
            </w:tcBorders>
            <w:shd w:val="clear" w:color="auto" w:fill="auto"/>
            <w:vAlign w:val="bottom"/>
          </w:tcPr>
          <w:p w14:paraId="76F9AB4B"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632D4405" w14:textId="47D97AD9" w:rsidR="009F3DEE"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60.000,00</w:t>
            </w:r>
          </w:p>
        </w:tc>
        <w:tc>
          <w:tcPr>
            <w:tcW w:w="1001" w:type="dxa"/>
            <w:tcBorders>
              <w:right w:val="single" w:sz="4" w:space="0" w:color="000000"/>
            </w:tcBorders>
            <w:shd w:val="clear" w:color="auto" w:fill="auto"/>
            <w:vAlign w:val="bottom"/>
          </w:tcPr>
          <w:p w14:paraId="5A9763AF" w14:textId="185E9B63" w:rsidR="009F3DEE" w:rsidRDefault="009F3DE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285" w:type="dxa"/>
            <w:tcBorders>
              <w:right w:val="single" w:sz="4" w:space="0" w:color="000000"/>
            </w:tcBorders>
            <w:shd w:val="clear" w:color="auto" w:fill="auto"/>
            <w:vAlign w:val="bottom"/>
          </w:tcPr>
          <w:p w14:paraId="7CD811AE" w14:textId="77777777" w:rsidR="009F3DEE" w:rsidRDefault="009F3DEE">
            <w:pPr>
              <w:spacing w:after="0" w:line="240" w:lineRule="auto"/>
              <w:jc w:val="right"/>
              <w:rPr>
                <w:rFonts w:ascii="Calibri" w:eastAsia="Times New Roman" w:hAnsi="Calibri" w:cs="Calibri"/>
                <w:color w:val="000000"/>
                <w:lang w:eastAsia="hr-HR"/>
              </w:rPr>
            </w:pPr>
          </w:p>
        </w:tc>
      </w:tr>
      <w:tr w:rsidR="009F3DEE" w14:paraId="37FD0749" w14:textId="77777777" w:rsidTr="009F3DEE">
        <w:trPr>
          <w:trHeight w:val="644"/>
        </w:trPr>
        <w:tc>
          <w:tcPr>
            <w:tcW w:w="1052" w:type="dxa"/>
            <w:tcBorders>
              <w:left w:val="single" w:sz="4" w:space="0" w:color="000000"/>
              <w:right w:val="single" w:sz="4" w:space="0" w:color="000000"/>
            </w:tcBorders>
            <w:shd w:val="clear" w:color="auto" w:fill="auto"/>
            <w:vAlign w:val="bottom"/>
          </w:tcPr>
          <w:p w14:paraId="7AE91B91"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5BD38335" w14:textId="77777777" w:rsidR="009F3DEE" w:rsidRDefault="009F3DEE">
            <w:pPr>
              <w:spacing w:after="0" w:line="240" w:lineRule="auto"/>
              <w:rPr>
                <w:rFonts w:eastAsia="Times New Roman" w:cs="Calibri"/>
                <w:color w:val="000000"/>
                <w:lang w:eastAsia="hr-HR"/>
              </w:rPr>
            </w:pPr>
          </w:p>
        </w:tc>
        <w:tc>
          <w:tcPr>
            <w:tcW w:w="1259" w:type="dxa"/>
            <w:tcBorders>
              <w:right w:val="single" w:sz="4" w:space="0" w:color="000000"/>
            </w:tcBorders>
            <w:shd w:val="clear" w:color="auto" w:fill="auto"/>
            <w:vAlign w:val="bottom"/>
          </w:tcPr>
          <w:p w14:paraId="5C5D7A12"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right w:val="single" w:sz="4" w:space="0" w:color="000000"/>
            </w:tcBorders>
            <w:shd w:val="clear" w:color="auto" w:fill="auto"/>
            <w:vAlign w:val="bottom"/>
          </w:tcPr>
          <w:p w14:paraId="0920DB03"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4C7EA6BB"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right w:val="single" w:sz="4" w:space="0" w:color="000000"/>
            </w:tcBorders>
            <w:shd w:val="clear" w:color="auto" w:fill="auto"/>
            <w:vAlign w:val="bottom"/>
          </w:tcPr>
          <w:p w14:paraId="31CF26F5"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right w:val="single" w:sz="4" w:space="0" w:color="000000"/>
            </w:tcBorders>
            <w:shd w:val="clear" w:color="auto" w:fill="auto"/>
            <w:vAlign w:val="bottom"/>
          </w:tcPr>
          <w:p w14:paraId="7316425E" w14:textId="77777777" w:rsidR="009F3DEE" w:rsidRDefault="009F3DEE">
            <w:pPr>
              <w:spacing w:after="0" w:line="240" w:lineRule="auto"/>
              <w:jc w:val="right"/>
              <w:rPr>
                <w:rFonts w:ascii="Calibri" w:eastAsia="Times New Roman" w:hAnsi="Calibri" w:cs="Calibri"/>
                <w:color w:val="000000"/>
                <w:lang w:eastAsia="hr-HR"/>
              </w:rPr>
            </w:pPr>
          </w:p>
        </w:tc>
      </w:tr>
      <w:tr w:rsidR="009F3DEE" w14:paraId="54E11F87" w14:textId="77777777" w:rsidTr="009F3DEE">
        <w:trPr>
          <w:trHeight w:val="644"/>
        </w:trPr>
        <w:tc>
          <w:tcPr>
            <w:tcW w:w="1052" w:type="dxa"/>
            <w:tcBorders>
              <w:left w:val="single" w:sz="4" w:space="0" w:color="000000"/>
              <w:right w:val="single" w:sz="4" w:space="0" w:color="000000"/>
            </w:tcBorders>
            <w:shd w:val="clear" w:color="auto" w:fill="auto"/>
            <w:vAlign w:val="bottom"/>
          </w:tcPr>
          <w:p w14:paraId="010D4E2B"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767C8882" w14:textId="77777777" w:rsidR="009F3DEE" w:rsidRDefault="009F3DEE">
            <w:pPr>
              <w:spacing w:after="0" w:line="240" w:lineRule="auto"/>
              <w:rPr>
                <w:rFonts w:eastAsia="Times New Roman" w:cs="Calibri"/>
                <w:color w:val="000000"/>
                <w:lang w:eastAsia="hr-HR"/>
              </w:rPr>
            </w:pPr>
          </w:p>
        </w:tc>
        <w:tc>
          <w:tcPr>
            <w:tcW w:w="1259" w:type="dxa"/>
            <w:tcBorders>
              <w:right w:val="single" w:sz="4" w:space="0" w:color="000000"/>
            </w:tcBorders>
            <w:shd w:val="clear" w:color="auto" w:fill="auto"/>
            <w:vAlign w:val="bottom"/>
          </w:tcPr>
          <w:p w14:paraId="228DC89C"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right w:val="single" w:sz="4" w:space="0" w:color="000000"/>
            </w:tcBorders>
            <w:shd w:val="clear" w:color="auto" w:fill="auto"/>
            <w:vAlign w:val="bottom"/>
          </w:tcPr>
          <w:p w14:paraId="3455BE8C"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587BCB56"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right w:val="single" w:sz="4" w:space="0" w:color="000000"/>
            </w:tcBorders>
            <w:shd w:val="clear" w:color="auto" w:fill="auto"/>
            <w:vAlign w:val="bottom"/>
          </w:tcPr>
          <w:p w14:paraId="20349137"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right w:val="single" w:sz="4" w:space="0" w:color="000000"/>
            </w:tcBorders>
            <w:shd w:val="clear" w:color="auto" w:fill="auto"/>
            <w:vAlign w:val="bottom"/>
          </w:tcPr>
          <w:p w14:paraId="1BB39ED5" w14:textId="77777777" w:rsidR="009F3DEE" w:rsidRDefault="009F3DEE">
            <w:pPr>
              <w:spacing w:after="0" w:line="240" w:lineRule="auto"/>
              <w:jc w:val="right"/>
              <w:rPr>
                <w:rFonts w:ascii="Calibri" w:eastAsia="Times New Roman" w:hAnsi="Calibri" w:cs="Calibri"/>
                <w:color w:val="000000"/>
                <w:lang w:eastAsia="hr-HR"/>
              </w:rPr>
            </w:pPr>
          </w:p>
        </w:tc>
      </w:tr>
      <w:tr w:rsidR="009F3DEE" w14:paraId="41FA2A2F" w14:textId="77777777" w:rsidTr="009F3DEE">
        <w:trPr>
          <w:trHeight w:val="644"/>
        </w:trPr>
        <w:tc>
          <w:tcPr>
            <w:tcW w:w="1052" w:type="dxa"/>
            <w:tcBorders>
              <w:left w:val="single" w:sz="4" w:space="0" w:color="000000"/>
              <w:right w:val="single" w:sz="4" w:space="0" w:color="000000"/>
            </w:tcBorders>
            <w:shd w:val="clear" w:color="auto" w:fill="auto"/>
            <w:vAlign w:val="bottom"/>
          </w:tcPr>
          <w:p w14:paraId="5B836930"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5B674CE6" w14:textId="77777777" w:rsidR="009F3DEE" w:rsidRDefault="009F3DEE">
            <w:pPr>
              <w:spacing w:after="0" w:line="240" w:lineRule="auto"/>
              <w:rPr>
                <w:rFonts w:eastAsia="Times New Roman" w:cs="Calibri"/>
                <w:color w:val="000000"/>
                <w:lang w:eastAsia="hr-HR"/>
              </w:rPr>
            </w:pPr>
          </w:p>
        </w:tc>
        <w:tc>
          <w:tcPr>
            <w:tcW w:w="1259" w:type="dxa"/>
            <w:tcBorders>
              <w:right w:val="single" w:sz="4" w:space="0" w:color="000000"/>
            </w:tcBorders>
            <w:shd w:val="clear" w:color="auto" w:fill="auto"/>
            <w:vAlign w:val="bottom"/>
          </w:tcPr>
          <w:p w14:paraId="24FDF410"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right w:val="single" w:sz="4" w:space="0" w:color="000000"/>
            </w:tcBorders>
            <w:shd w:val="clear" w:color="auto" w:fill="auto"/>
            <w:vAlign w:val="bottom"/>
          </w:tcPr>
          <w:p w14:paraId="3D88E1DB"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474D5272"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right w:val="single" w:sz="4" w:space="0" w:color="000000"/>
            </w:tcBorders>
            <w:shd w:val="clear" w:color="auto" w:fill="auto"/>
            <w:vAlign w:val="bottom"/>
          </w:tcPr>
          <w:p w14:paraId="7C60A89E"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right w:val="single" w:sz="4" w:space="0" w:color="000000"/>
            </w:tcBorders>
            <w:shd w:val="clear" w:color="auto" w:fill="auto"/>
            <w:vAlign w:val="bottom"/>
          </w:tcPr>
          <w:p w14:paraId="2331A0FF" w14:textId="77777777" w:rsidR="009F3DEE" w:rsidRDefault="009F3DEE">
            <w:pPr>
              <w:spacing w:after="0" w:line="240" w:lineRule="auto"/>
              <w:jc w:val="right"/>
              <w:rPr>
                <w:rFonts w:ascii="Calibri" w:eastAsia="Times New Roman" w:hAnsi="Calibri" w:cs="Calibri"/>
                <w:color w:val="000000"/>
                <w:lang w:eastAsia="hr-HR"/>
              </w:rPr>
            </w:pPr>
          </w:p>
        </w:tc>
      </w:tr>
      <w:tr w:rsidR="009F3DEE" w14:paraId="2738CA23" w14:textId="77777777" w:rsidTr="009F3DEE">
        <w:trPr>
          <w:trHeight w:val="644"/>
        </w:trPr>
        <w:tc>
          <w:tcPr>
            <w:tcW w:w="1052" w:type="dxa"/>
            <w:tcBorders>
              <w:left w:val="single" w:sz="4" w:space="0" w:color="000000"/>
              <w:right w:val="single" w:sz="4" w:space="0" w:color="000000"/>
            </w:tcBorders>
            <w:shd w:val="clear" w:color="auto" w:fill="auto"/>
            <w:vAlign w:val="bottom"/>
          </w:tcPr>
          <w:p w14:paraId="353114DB"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36F9EFD9" w14:textId="77777777" w:rsidR="009F3DEE" w:rsidRDefault="009F3DEE">
            <w:pPr>
              <w:spacing w:after="0" w:line="240" w:lineRule="auto"/>
              <w:rPr>
                <w:rFonts w:eastAsia="Times New Roman" w:cs="Calibri"/>
                <w:color w:val="000000"/>
                <w:lang w:eastAsia="hr-HR"/>
              </w:rPr>
            </w:pPr>
          </w:p>
        </w:tc>
        <w:tc>
          <w:tcPr>
            <w:tcW w:w="1259" w:type="dxa"/>
            <w:tcBorders>
              <w:right w:val="single" w:sz="4" w:space="0" w:color="000000"/>
            </w:tcBorders>
            <w:shd w:val="clear" w:color="auto" w:fill="auto"/>
            <w:vAlign w:val="bottom"/>
          </w:tcPr>
          <w:p w14:paraId="2D732CF4"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right w:val="single" w:sz="4" w:space="0" w:color="000000"/>
            </w:tcBorders>
            <w:shd w:val="clear" w:color="auto" w:fill="auto"/>
            <w:vAlign w:val="bottom"/>
          </w:tcPr>
          <w:p w14:paraId="36904D4E"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58F279CF"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right w:val="single" w:sz="4" w:space="0" w:color="000000"/>
            </w:tcBorders>
            <w:shd w:val="clear" w:color="auto" w:fill="auto"/>
            <w:vAlign w:val="bottom"/>
          </w:tcPr>
          <w:p w14:paraId="6937D72F"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right w:val="single" w:sz="4" w:space="0" w:color="000000"/>
            </w:tcBorders>
            <w:shd w:val="clear" w:color="auto" w:fill="auto"/>
            <w:vAlign w:val="bottom"/>
          </w:tcPr>
          <w:p w14:paraId="1E470FE0" w14:textId="77777777" w:rsidR="009F3DEE" w:rsidRDefault="009F3DEE">
            <w:pPr>
              <w:spacing w:after="0" w:line="240" w:lineRule="auto"/>
              <w:jc w:val="right"/>
              <w:rPr>
                <w:rFonts w:ascii="Calibri" w:eastAsia="Times New Roman" w:hAnsi="Calibri" w:cs="Calibri"/>
                <w:color w:val="000000"/>
                <w:lang w:eastAsia="hr-HR"/>
              </w:rPr>
            </w:pPr>
          </w:p>
        </w:tc>
      </w:tr>
      <w:tr w:rsidR="009F3DEE" w14:paraId="7D2B5B31" w14:textId="77777777" w:rsidTr="009F3DEE">
        <w:trPr>
          <w:trHeight w:val="644"/>
        </w:trPr>
        <w:tc>
          <w:tcPr>
            <w:tcW w:w="1052" w:type="dxa"/>
            <w:tcBorders>
              <w:left w:val="single" w:sz="4" w:space="0" w:color="000000"/>
              <w:right w:val="single" w:sz="4" w:space="0" w:color="000000"/>
            </w:tcBorders>
            <w:shd w:val="clear" w:color="auto" w:fill="auto"/>
            <w:vAlign w:val="bottom"/>
          </w:tcPr>
          <w:p w14:paraId="48AF5850"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09DBC65D" w14:textId="77777777" w:rsidR="009F3DEE" w:rsidRDefault="009F3DEE">
            <w:pPr>
              <w:spacing w:after="0" w:line="240" w:lineRule="auto"/>
              <w:rPr>
                <w:rFonts w:eastAsia="Times New Roman" w:cs="Calibri"/>
                <w:color w:val="000000"/>
                <w:lang w:eastAsia="hr-HR"/>
              </w:rPr>
            </w:pPr>
          </w:p>
        </w:tc>
        <w:tc>
          <w:tcPr>
            <w:tcW w:w="1259" w:type="dxa"/>
            <w:tcBorders>
              <w:right w:val="single" w:sz="4" w:space="0" w:color="000000"/>
            </w:tcBorders>
            <w:shd w:val="clear" w:color="auto" w:fill="auto"/>
            <w:vAlign w:val="bottom"/>
          </w:tcPr>
          <w:p w14:paraId="4F559455"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right w:val="single" w:sz="4" w:space="0" w:color="000000"/>
            </w:tcBorders>
            <w:shd w:val="clear" w:color="auto" w:fill="auto"/>
            <w:vAlign w:val="bottom"/>
          </w:tcPr>
          <w:p w14:paraId="212863B6"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25860700"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right w:val="single" w:sz="4" w:space="0" w:color="000000"/>
            </w:tcBorders>
            <w:shd w:val="clear" w:color="auto" w:fill="auto"/>
            <w:vAlign w:val="bottom"/>
          </w:tcPr>
          <w:p w14:paraId="21C74239"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right w:val="single" w:sz="4" w:space="0" w:color="000000"/>
            </w:tcBorders>
            <w:shd w:val="clear" w:color="auto" w:fill="auto"/>
            <w:vAlign w:val="bottom"/>
          </w:tcPr>
          <w:p w14:paraId="74445986" w14:textId="77777777" w:rsidR="009F3DEE" w:rsidRDefault="009F3DEE">
            <w:pPr>
              <w:spacing w:after="0" w:line="240" w:lineRule="auto"/>
              <w:jc w:val="right"/>
              <w:rPr>
                <w:rFonts w:ascii="Calibri" w:eastAsia="Times New Roman" w:hAnsi="Calibri" w:cs="Calibri"/>
                <w:color w:val="000000"/>
                <w:lang w:eastAsia="hr-HR"/>
              </w:rPr>
            </w:pPr>
          </w:p>
        </w:tc>
      </w:tr>
      <w:tr w:rsidR="009F3DEE" w14:paraId="1791D877" w14:textId="77777777" w:rsidTr="00182E68">
        <w:trPr>
          <w:trHeight w:val="80"/>
        </w:trPr>
        <w:tc>
          <w:tcPr>
            <w:tcW w:w="1052" w:type="dxa"/>
            <w:tcBorders>
              <w:left w:val="single" w:sz="4" w:space="0" w:color="000000"/>
              <w:right w:val="single" w:sz="4" w:space="0" w:color="000000"/>
            </w:tcBorders>
            <w:shd w:val="clear" w:color="auto" w:fill="auto"/>
            <w:vAlign w:val="bottom"/>
          </w:tcPr>
          <w:p w14:paraId="03566E33" w14:textId="77777777" w:rsidR="009F3DEE" w:rsidRDefault="009F3DEE">
            <w:pPr>
              <w:spacing w:after="0" w:line="240" w:lineRule="auto"/>
              <w:jc w:val="center"/>
              <w:rPr>
                <w:rFonts w:eastAsia="Times New Roman" w:cs="Calibri"/>
                <w:color w:val="000000"/>
                <w:lang w:eastAsia="hr-HR"/>
              </w:rPr>
            </w:pPr>
          </w:p>
        </w:tc>
        <w:tc>
          <w:tcPr>
            <w:tcW w:w="2651" w:type="dxa"/>
            <w:tcBorders>
              <w:right w:val="single" w:sz="4" w:space="0" w:color="000000"/>
            </w:tcBorders>
            <w:shd w:val="clear" w:color="auto" w:fill="auto"/>
            <w:vAlign w:val="bottom"/>
          </w:tcPr>
          <w:p w14:paraId="25CE56B2" w14:textId="3C57A5E2" w:rsidR="009F3DEE" w:rsidRDefault="00182E68">
            <w:pPr>
              <w:spacing w:after="0" w:line="240" w:lineRule="auto"/>
              <w:rPr>
                <w:rFonts w:eastAsia="Times New Roman" w:cs="Calibri"/>
                <w:color w:val="000000"/>
                <w:lang w:eastAsia="hr-HR"/>
              </w:rPr>
            </w:pPr>
            <w:r>
              <w:rPr>
                <w:rFonts w:eastAsia="Times New Roman" w:cs="Calibri"/>
                <w:color w:val="000000"/>
                <w:lang w:eastAsia="hr-HR"/>
              </w:rPr>
              <w:t>UKUPNO</w:t>
            </w:r>
          </w:p>
        </w:tc>
        <w:tc>
          <w:tcPr>
            <w:tcW w:w="1259" w:type="dxa"/>
            <w:tcBorders>
              <w:right w:val="single" w:sz="4" w:space="0" w:color="000000"/>
            </w:tcBorders>
            <w:shd w:val="clear" w:color="auto" w:fill="auto"/>
            <w:vAlign w:val="bottom"/>
          </w:tcPr>
          <w:p w14:paraId="77E0BF08" w14:textId="24590BFF" w:rsidR="009F3DEE" w:rsidRDefault="00182E68">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1.295.140,17</w:t>
            </w:r>
          </w:p>
        </w:tc>
        <w:tc>
          <w:tcPr>
            <w:tcW w:w="1562" w:type="dxa"/>
            <w:tcBorders>
              <w:right w:val="single" w:sz="4" w:space="0" w:color="000000"/>
            </w:tcBorders>
            <w:shd w:val="clear" w:color="auto" w:fill="auto"/>
            <w:vAlign w:val="bottom"/>
          </w:tcPr>
          <w:p w14:paraId="040D83FB"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right w:val="single" w:sz="4" w:space="0" w:color="000000"/>
            </w:tcBorders>
            <w:shd w:val="clear" w:color="auto" w:fill="FFFFFF"/>
            <w:vAlign w:val="bottom"/>
          </w:tcPr>
          <w:p w14:paraId="158CE138" w14:textId="57061901" w:rsidR="009F3DEE" w:rsidRDefault="00182E68">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1.693.345,61</w:t>
            </w:r>
          </w:p>
        </w:tc>
        <w:tc>
          <w:tcPr>
            <w:tcW w:w="1001" w:type="dxa"/>
            <w:tcBorders>
              <w:right w:val="single" w:sz="4" w:space="0" w:color="000000"/>
            </w:tcBorders>
            <w:shd w:val="clear" w:color="auto" w:fill="auto"/>
            <w:vAlign w:val="bottom"/>
          </w:tcPr>
          <w:p w14:paraId="58A8DB30" w14:textId="6CB6B246" w:rsidR="009F3DEE" w:rsidRDefault="00182E68">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130,75</w:t>
            </w:r>
          </w:p>
        </w:tc>
        <w:tc>
          <w:tcPr>
            <w:tcW w:w="1285" w:type="dxa"/>
            <w:tcBorders>
              <w:right w:val="single" w:sz="4" w:space="0" w:color="000000"/>
            </w:tcBorders>
            <w:shd w:val="clear" w:color="auto" w:fill="auto"/>
            <w:vAlign w:val="bottom"/>
          </w:tcPr>
          <w:p w14:paraId="60EDA2F7" w14:textId="77777777" w:rsidR="009F3DEE" w:rsidRDefault="009F3DEE">
            <w:pPr>
              <w:spacing w:after="0" w:line="240" w:lineRule="auto"/>
              <w:jc w:val="right"/>
              <w:rPr>
                <w:rFonts w:ascii="Calibri" w:eastAsia="Times New Roman" w:hAnsi="Calibri" w:cs="Calibri"/>
                <w:color w:val="000000"/>
                <w:lang w:eastAsia="hr-HR"/>
              </w:rPr>
            </w:pPr>
          </w:p>
        </w:tc>
      </w:tr>
      <w:tr w:rsidR="009F3DEE" w14:paraId="53F6B86D" w14:textId="77777777" w:rsidTr="00182E68">
        <w:trPr>
          <w:trHeight w:val="80"/>
        </w:trPr>
        <w:tc>
          <w:tcPr>
            <w:tcW w:w="1052" w:type="dxa"/>
            <w:tcBorders>
              <w:left w:val="single" w:sz="4" w:space="0" w:color="000000"/>
              <w:bottom w:val="single" w:sz="4" w:space="0" w:color="000000"/>
              <w:right w:val="single" w:sz="4" w:space="0" w:color="000000"/>
            </w:tcBorders>
            <w:shd w:val="clear" w:color="auto" w:fill="auto"/>
            <w:vAlign w:val="bottom"/>
          </w:tcPr>
          <w:p w14:paraId="71A857F3" w14:textId="77777777" w:rsidR="009F3DEE" w:rsidRDefault="009F3DEE">
            <w:pPr>
              <w:spacing w:after="0" w:line="240" w:lineRule="auto"/>
              <w:jc w:val="center"/>
              <w:rPr>
                <w:rFonts w:eastAsia="Times New Roman" w:cs="Calibri"/>
                <w:color w:val="000000"/>
                <w:lang w:eastAsia="hr-HR"/>
              </w:rPr>
            </w:pPr>
          </w:p>
        </w:tc>
        <w:tc>
          <w:tcPr>
            <w:tcW w:w="2651" w:type="dxa"/>
            <w:tcBorders>
              <w:bottom w:val="single" w:sz="4" w:space="0" w:color="000000"/>
              <w:right w:val="single" w:sz="4" w:space="0" w:color="000000"/>
            </w:tcBorders>
            <w:shd w:val="clear" w:color="auto" w:fill="auto"/>
            <w:vAlign w:val="bottom"/>
          </w:tcPr>
          <w:p w14:paraId="6242FFC9" w14:textId="77777777" w:rsidR="009F3DEE" w:rsidRDefault="009F3DEE">
            <w:pPr>
              <w:spacing w:after="0" w:line="240" w:lineRule="auto"/>
              <w:rPr>
                <w:rFonts w:eastAsia="Times New Roman" w:cs="Calibri"/>
                <w:color w:val="000000"/>
                <w:lang w:eastAsia="hr-HR"/>
              </w:rPr>
            </w:pPr>
          </w:p>
        </w:tc>
        <w:tc>
          <w:tcPr>
            <w:tcW w:w="1259" w:type="dxa"/>
            <w:tcBorders>
              <w:bottom w:val="single" w:sz="4" w:space="0" w:color="000000"/>
              <w:right w:val="single" w:sz="4" w:space="0" w:color="000000"/>
            </w:tcBorders>
            <w:shd w:val="clear" w:color="auto" w:fill="auto"/>
            <w:vAlign w:val="bottom"/>
          </w:tcPr>
          <w:p w14:paraId="3F5B9B42" w14:textId="77777777" w:rsidR="009F3DEE" w:rsidRDefault="009F3DEE">
            <w:pPr>
              <w:spacing w:after="0" w:line="240" w:lineRule="auto"/>
              <w:jc w:val="right"/>
              <w:rPr>
                <w:rFonts w:ascii="Calibri" w:eastAsia="Times New Roman" w:hAnsi="Calibri" w:cs="Calibri"/>
                <w:color w:val="000000"/>
                <w:lang w:eastAsia="hr-HR"/>
              </w:rPr>
            </w:pPr>
          </w:p>
        </w:tc>
        <w:tc>
          <w:tcPr>
            <w:tcW w:w="1562" w:type="dxa"/>
            <w:tcBorders>
              <w:bottom w:val="single" w:sz="4" w:space="0" w:color="000000"/>
              <w:right w:val="single" w:sz="4" w:space="0" w:color="000000"/>
            </w:tcBorders>
            <w:shd w:val="clear" w:color="auto" w:fill="auto"/>
            <w:vAlign w:val="bottom"/>
          </w:tcPr>
          <w:p w14:paraId="386019A1" w14:textId="77777777" w:rsidR="009F3DEE" w:rsidRDefault="009F3DEE">
            <w:pPr>
              <w:spacing w:after="0" w:line="240" w:lineRule="auto"/>
              <w:jc w:val="right"/>
              <w:rPr>
                <w:rFonts w:ascii="Calibri" w:eastAsia="Times New Roman" w:hAnsi="Calibri" w:cs="Calibri"/>
                <w:color w:val="000000"/>
                <w:lang w:eastAsia="hr-HR"/>
              </w:rPr>
            </w:pPr>
          </w:p>
        </w:tc>
        <w:tc>
          <w:tcPr>
            <w:tcW w:w="1595" w:type="dxa"/>
            <w:tcBorders>
              <w:bottom w:val="single" w:sz="4" w:space="0" w:color="000000"/>
              <w:right w:val="single" w:sz="4" w:space="0" w:color="000000"/>
            </w:tcBorders>
            <w:shd w:val="clear" w:color="auto" w:fill="FFFFFF"/>
            <w:vAlign w:val="bottom"/>
          </w:tcPr>
          <w:p w14:paraId="59C4097B" w14:textId="77777777" w:rsidR="009F3DEE" w:rsidRDefault="009F3DEE">
            <w:pPr>
              <w:spacing w:after="0" w:line="240" w:lineRule="auto"/>
              <w:jc w:val="right"/>
              <w:rPr>
                <w:rFonts w:ascii="Calibri" w:eastAsia="Times New Roman" w:hAnsi="Calibri" w:cs="Calibri"/>
                <w:color w:val="000000"/>
                <w:lang w:eastAsia="hr-HR"/>
              </w:rPr>
            </w:pPr>
          </w:p>
        </w:tc>
        <w:tc>
          <w:tcPr>
            <w:tcW w:w="1001" w:type="dxa"/>
            <w:tcBorders>
              <w:bottom w:val="single" w:sz="4" w:space="0" w:color="000000"/>
              <w:right w:val="single" w:sz="4" w:space="0" w:color="000000"/>
            </w:tcBorders>
            <w:shd w:val="clear" w:color="auto" w:fill="auto"/>
            <w:vAlign w:val="bottom"/>
          </w:tcPr>
          <w:p w14:paraId="50ACA546" w14:textId="77777777" w:rsidR="009F3DEE" w:rsidRDefault="009F3DEE">
            <w:pPr>
              <w:spacing w:after="0" w:line="240" w:lineRule="auto"/>
              <w:jc w:val="right"/>
              <w:rPr>
                <w:rFonts w:ascii="Calibri" w:eastAsia="Times New Roman" w:hAnsi="Calibri" w:cs="Calibri"/>
                <w:color w:val="000000"/>
                <w:lang w:eastAsia="hr-HR"/>
              </w:rPr>
            </w:pPr>
          </w:p>
        </w:tc>
        <w:tc>
          <w:tcPr>
            <w:tcW w:w="1285" w:type="dxa"/>
            <w:tcBorders>
              <w:bottom w:val="single" w:sz="4" w:space="0" w:color="000000"/>
              <w:right w:val="single" w:sz="4" w:space="0" w:color="000000"/>
            </w:tcBorders>
            <w:shd w:val="clear" w:color="auto" w:fill="auto"/>
            <w:vAlign w:val="bottom"/>
          </w:tcPr>
          <w:p w14:paraId="0A4D565C" w14:textId="77777777" w:rsidR="009F3DEE" w:rsidRDefault="009F3DEE">
            <w:pPr>
              <w:spacing w:after="0" w:line="240" w:lineRule="auto"/>
              <w:jc w:val="right"/>
              <w:rPr>
                <w:rFonts w:ascii="Calibri" w:eastAsia="Times New Roman" w:hAnsi="Calibri" w:cs="Calibri"/>
                <w:color w:val="000000"/>
                <w:lang w:eastAsia="hr-HR"/>
              </w:rPr>
            </w:pPr>
          </w:p>
        </w:tc>
      </w:tr>
    </w:tbl>
    <w:p w14:paraId="3D9CA92B" w14:textId="2AEEF929" w:rsidR="00E82762" w:rsidRDefault="00096288" w:rsidP="00E82762">
      <w:pPr>
        <w:spacing w:line="360" w:lineRule="auto"/>
        <w:rPr>
          <w:sz w:val="24"/>
          <w:szCs w:val="24"/>
        </w:rPr>
      </w:pPr>
      <w:r>
        <w:rPr>
          <w:sz w:val="24"/>
          <w:szCs w:val="24"/>
        </w:rPr>
        <w:lastRenderedPageBreak/>
        <w:t xml:space="preserve">Ukupni rashodi i izdaci izvještajnog razdoblja realizirani su u iznosu </w:t>
      </w:r>
      <w:r w:rsidR="00D9566C">
        <w:rPr>
          <w:sz w:val="24"/>
          <w:szCs w:val="24"/>
        </w:rPr>
        <w:t>1</w:t>
      </w:r>
      <w:r w:rsidR="00182E68">
        <w:rPr>
          <w:sz w:val="24"/>
          <w:szCs w:val="24"/>
        </w:rPr>
        <w:t>.693.345,61</w:t>
      </w:r>
      <w:r>
        <w:rPr>
          <w:sz w:val="24"/>
          <w:szCs w:val="24"/>
        </w:rPr>
        <w:t xml:space="preserve"> </w:t>
      </w:r>
      <w:r>
        <w:rPr>
          <w:rFonts w:ascii="Liberation Serif" w:eastAsia="Liberation Serif" w:hAnsi="Liberation Serif" w:cs="Liberation Serif"/>
          <w:sz w:val="24"/>
          <w:szCs w:val="24"/>
        </w:rPr>
        <w:t>€</w:t>
      </w:r>
      <w:r>
        <w:rPr>
          <w:sz w:val="24"/>
          <w:szCs w:val="24"/>
        </w:rPr>
        <w:t xml:space="preserve"> što čini   9</w:t>
      </w:r>
      <w:r w:rsidR="00182E68">
        <w:rPr>
          <w:sz w:val="24"/>
          <w:szCs w:val="24"/>
        </w:rPr>
        <w:t>5,78</w:t>
      </w:r>
      <w:r>
        <w:rPr>
          <w:sz w:val="24"/>
          <w:szCs w:val="24"/>
        </w:rPr>
        <w:t xml:space="preserve"> % od planiranog, odnosno </w:t>
      </w:r>
      <w:r w:rsidR="00182E68">
        <w:rPr>
          <w:sz w:val="24"/>
          <w:szCs w:val="24"/>
        </w:rPr>
        <w:t>30,75</w:t>
      </w:r>
      <w:r>
        <w:rPr>
          <w:sz w:val="24"/>
          <w:szCs w:val="24"/>
        </w:rPr>
        <w:t xml:space="preserve"> % su veći u odnosu na prethodno promatrano razdoblje</w:t>
      </w:r>
    </w:p>
    <w:p w14:paraId="1D8DE4E7" w14:textId="143641A8" w:rsidR="007B1DE9" w:rsidRPr="00E82762" w:rsidRDefault="003961DF" w:rsidP="00E82762">
      <w:pPr>
        <w:spacing w:line="360" w:lineRule="auto"/>
      </w:pPr>
      <w:r>
        <w:rPr>
          <w:rFonts w:ascii="Arial" w:hAnsi="Arial" w:cs="Arial"/>
          <w:b/>
          <w:bCs/>
        </w:rPr>
        <w:t>3</w:t>
      </w:r>
      <w:r w:rsidR="00096288">
        <w:rPr>
          <w:rFonts w:ascii="Arial" w:hAnsi="Arial" w:cs="Arial"/>
          <w:b/>
          <w:bCs/>
        </w:rPr>
        <w:t>. POSEBNI IZVJEŠTAJ U GODIŠNJEM IZVJEŠTAJU O IZVRŠENJU PRORAČUNA</w:t>
      </w:r>
    </w:p>
    <w:p w14:paraId="16F0F89F" w14:textId="276C7BAB" w:rsidR="007B1DE9" w:rsidRDefault="00096288">
      <w:pPr>
        <w:pStyle w:val="Bezproreda"/>
      </w:pPr>
      <w:r>
        <w:rPr>
          <w:rFonts w:cstheme="minorHAnsi"/>
          <w:b/>
          <w:bCs/>
          <w:color w:val="222222"/>
          <w:shd w:val="clear" w:color="auto" w:fill="FFFFFF"/>
        </w:rPr>
        <w:t>Stanje potraživanja i dospjelih obveza</w:t>
      </w:r>
      <w:r>
        <w:rPr>
          <w:rFonts w:cstheme="minorHAnsi"/>
          <w:color w:val="222222"/>
        </w:rPr>
        <w:br/>
      </w:r>
      <w:r>
        <w:rPr>
          <w:rFonts w:cstheme="minorHAnsi"/>
          <w:color w:val="222222"/>
          <w:shd w:val="clear" w:color="auto" w:fill="FFFFFF"/>
        </w:rPr>
        <w:t>Ukupna potraživanja 31.12.202</w:t>
      </w:r>
      <w:r w:rsidR="00182E68">
        <w:rPr>
          <w:rFonts w:cstheme="minorHAnsi"/>
          <w:color w:val="222222"/>
          <w:shd w:val="clear" w:color="auto" w:fill="FFFFFF"/>
        </w:rPr>
        <w:t>4</w:t>
      </w:r>
      <w:r>
        <w:rPr>
          <w:rFonts w:cstheme="minorHAnsi"/>
          <w:color w:val="222222"/>
          <w:shd w:val="clear" w:color="auto" w:fill="FFFFFF"/>
        </w:rPr>
        <w:t xml:space="preserve">. iznose </w:t>
      </w:r>
      <w:r w:rsidR="001160E9">
        <w:rPr>
          <w:rFonts w:cstheme="minorHAnsi"/>
          <w:color w:val="222222"/>
          <w:shd w:val="clear" w:color="auto" w:fill="FFFFFF"/>
        </w:rPr>
        <w:t>4.</w:t>
      </w:r>
      <w:r w:rsidR="00B40EAA">
        <w:rPr>
          <w:rFonts w:cstheme="minorHAnsi"/>
          <w:color w:val="222222"/>
          <w:shd w:val="clear" w:color="auto" w:fill="FFFFFF"/>
        </w:rPr>
        <w:t>160,51</w:t>
      </w:r>
      <w:r>
        <w:rPr>
          <w:rFonts w:cstheme="minorHAnsi"/>
          <w:color w:val="222222"/>
          <w:shd w:val="clear" w:color="auto" w:fill="FFFFFF"/>
        </w:rPr>
        <w:t xml:space="preserve"> €</w:t>
      </w:r>
      <w:r w:rsidR="00C6307F">
        <w:rPr>
          <w:rFonts w:cstheme="minorHAnsi"/>
          <w:color w:val="222222"/>
          <w:shd w:val="clear" w:color="auto" w:fill="FFFFFF"/>
        </w:rPr>
        <w:t xml:space="preserve">, </w:t>
      </w:r>
      <w:r>
        <w:rPr>
          <w:rFonts w:cstheme="minorHAnsi"/>
          <w:color w:val="222222"/>
          <w:shd w:val="clear" w:color="auto" w:fill="FFFFFF"/>
        </w:rPr>
        <w:t xml:space="preserve"> a odnose se na potraživanja </w:t>
      </w:r>
      <w:r w:rsidR="00E82762">
        <w:rPr>
          <w:rFonts w:cstheme="minorHAnsi"/>
          <w:color w:val="222222"/>
          <w:shd w:val="clear" w:color="auto" w:fill="FFFFFF"/>
        </w:rPr>
        <w:t xml:space="preserve"> od roditelja a </w:t>
      </w:r>
      <w:r>
        <w:rPr>
          <w:rFonts w:cstheme="minorHAnsi"/>
          <w:color w:val="222222"/>
          <w:shd w:val="clear" w:color="auto" w:fill="FFFFFF"/>
        </w:rPr>
        <w:t>za</w:t>
      </w:r>
      <w:r w:rsidR="001160E9">
        <w:rPr>
          <w:rFonts w:cstheme="minorHAnsi"/>
          <w:color w:val="222222"/>
          <w:shd w:val="clear" w:color="auto" w:fill="FFFFFF"/>
        </w:rPr>
        <w:t xml:space="preserve"> financiranje plaća i uslug</w:t>
      </w:r>
      <w:r w:rsidR="00E82762">
        <w:rPr>
          <w:rFonts w:cstheme="minorHAnsi"/>
          <w:color w:val="222222"/>
          <w:shd w:val="clear" w:color="auto" w:fill="FFFFFF"/>
        </w:rPr>
        <w:t>a</w:t>
      </w:r>
      <w:r w:rsidR="001160E9">
        <w:rPr>
          <w:rFonts w:cstheme="minorHAnsi"/>
          <w:color w:val="222222"/>
          <w:shd w:val="clear" w:color="auto" w:fill="FFFFFF"/>
        </w:rPr>
        <w:t xml:space="preserve"> prehrane</w:t>
      </w:r>
      <w:r w:rsidR="00E82762">
        <w:rPr>
          <w:rFonts w:cstheme="minorHAnsi"/>
          <w:color w:val="222222"/>
          <w:shd w:val="clear" w:color="auto" w:fill="FFFFFF"/>
        </w:rPr>
        <w:t xml:space="preserve"> učenika korisnika</w:t>
      </w:r>
      <w:r w:rsidR="001160E9">
        <w:rPr>
          <w:rFonts w:cstheme="minorHAnsi"/>
          <w:color w:val="222222"/>
          <w:shd w:val="clear" w:color="auto" w:fill="FFFFFF"/>
        </w:rPr>
        <w:t xml:space="preserve"> produženog boravka  te potraživanja za najam školskog prostora.</w:t>
      </w:r>
      <w:r>
        <w:rPr>
          <w:rFonts w:cstheme="minorHAnsi"/>
          <w:color w:val="222222"/>
        </w:rPr>
        <w:br/>
      </w:r>
      <w:r>
        <w:rPr>
          <w:rFonts w:cstheme="minorHAnsi"/>
          <w:color w:val="222222"/>
          <w:shd w:val="clear" w:color="auto" w:fill="FFFFFF"/>
        </w:rPr>
        <w:t>Dospjele obveze  31.12.202</w:t>
      </w:r>
      <w:r w:rsidR="00182E68">
        <w:rPr>
          <w:rFonts w:cstheme="minorHAnsi"/>
          <w:color w:val="222222"/>
          <w:shd w:val="clear" w:color="auto" w:fill="FFFFFF"/>
        </w:rPr>
        <w:t>4</w:t>
      </w:r>
      <w:r>
        <w:rPr>
          <w:rFonts w:cstheme="minorHAnsi"/>
          <w:color w:val="222222"/>
          <w:shd w:val="clear" w:color="auto" w:fill="FFFFFF"/>
        </w:rPr>
        <w:t xml:space="preserve">. iznose </w:t>
      </w:r>
      <w:r w:rsidR="00B40EAA">
        <w:rPr>
          <w:rFonts w:cstheme="minorHAnsi"/>
          <w:color w:val="222222"/>
          <w:shd w:val="clear" w:color="auto" w:fill="FFFFFF"/>
        </w:rPr>
        <w:t>618,85</w:t>
      </w:r>
      <w:r>
        <w:rPr>
          <w:rFonts w:cstheme="minorHAnsi"/>
          <w:color w:val="222222"/>
          <w:shd w:val="clear" w:color="auto" w:fill="FFFFFF"/>
        </w:rPr>
        <w:t xml:space="preserve"> €</w:t>
      </w:r>
      <w:r w:rsidR="00C6307F">
        <w:rPr>
          <w:rFonts w:cstheme="minorHAnsi"/>
          <w:color w:val="222222"/>
          <w:shd w:val="clear" w:color="auto" w:fill="FFFFFF"/>
        </w:rPr>
        <w:t xml:space="preserve">, </w:t>
      </w:r>
      <w:r>
        <w:rPr>
          <w:rFonts w:cstheme="minorHAnsi"/>
          <w:color w:val="222222"/>
          <w:shd w:val="clear" w:color="auto" w:fill="FFFFFF"/>
        </w:rPr>
        <w:t xml:space="preserve"> a odnose se na nezatvorene  obveze za bolovanja HZZO. </w:t>
      </w:r>
      <w:r>
        <w:rPr>
          <w:rFonts w:cstheme="minorHAnsi"/>
          <w:color w:val="222222"/>
        </w:rPr>
        <w:br/>
      </w:r>
      <w:r>
        <w:rPr>
          <w:rFonts w:cstheme="minorHAnsi"/>
          <w:color w:val="222222"/>
          <w:shd w:val="clear" w:color="auto" w:fill="FFFFFF"/>
        </w:rPr>
        <w:t xml:space="preserve">U toku godine u više navrata po Uputi Ministarstva financija izvršeno </w:t>
      </w:r>
      <w:r w:rsidR="00C6307F">
        <w:rPr>
          <w:rFonts w:cstheme="minorHAnsi"/>
          <w:color w:val="222222"/>
          <w:shd w:val="clear" w:color="auto" w:fill="FFFFFF"/>
        </w:rPr>
        <w:t xml:space="preserve">je </w:t>
      </w:r>
      <w:r>
        <w:rPr>
          <w:rFonts w:cstheme="minorHAnsi"/>
          <w:color w:val="222222"/>
          <w:shd w:val="clear" w:color="auto" w:fill="FFFFFF"/>
        </w:rPr>
        <w:t>zatvaranje potraživanja prema HZZO-u u visini refundiranih sredstava i smanjenje obveze prema državnom proračunu.</w:t>
      </w:r>
    </w:p>
    <w:p w14:paraId="357E9858" w14:textId="77777777" w:rsidR="007B1DE9" w:rsidRDefault="007B1DE9">
      <w:pPr>
        <w:pStyle w:val="Bezproreda"/>
        <w:rPr>
          <w:rFonts w:cstheme="minorHAnsi"/>
          <w:color w:val="222222"/>
          <w:highlight w:val="white"/>
        </w:rPr>
      </w:pPr>
    </w:p>
    <w:p w14:paraId="54A744BB" w14:textId="04235736" w:rsidR="007B1DE9" w:rsidRDefault="00096288">
      <w:pPr>
        <w:pStyle w:val="Bezproreda"/>
      </w:pPr>
      <w:r>
        <w:rPr>
          <w:rFonts w:cstheme="minorHAnsi"/>
          <w:color w:val="222222"/>
          <w:shd w:val="clear" w:color="auto" w:fill="FFFFFF"/>
        </w:rPr>
        <w:t xml:space="preserve">U </w:t>
      </w:r>
      <w:r w:rsidR="001160E9">
        <w:rPr>
          <w:rFonts w:cstheme="minorHAnsi"/>
          <w:color w:val="222222"/>
          <w:shd w:val="clear" w:color="auto" w:fill="FFFFFF"/>
        </w:rPr>
        <w:t xml:space="preserve">Karlovcu </w:t>
      </w:r>
      <w:r>
        <w:rPr>
          <w:rFonts w:cstheme="minorHAnsi"/>
          <w:color w:val="222222"/>
          <w:shd w:val="clear" w:color="auto" w:fill="FFFFFF"/>
        </w:rPr>
        <w:t xml:space="preserve">, </w:t>
      </w:r>
      <w:r w:rsidR="00F95FCE">
        <w:rPr>
          <w:rFonts w:cstheme="minorHAnsi"/>
          <w:color w:val="222222"/>
          <w:shd w:val="clear" w:color="auto" w:fill="FFFFFF"/>
        </w:rPr>
        <w:t>18</w:t>
      </w:r>
      <w:r>
        <w:rPr>
          <w:rFonts w:cstheme="minorHAnsi"/>
          <w:color w:val="222222"/>
          <w:shd w:val="clear" w:color="auto" w:fill="FFFFFF"/>
        </w:rPr>
        <w:t>.03.202</w:t>
      </w:r>
      <w:r w:rsidR="00F95FCE">
        <w:rPr>
          <w:rFonts w:cstheme="minorHAnsi"/>
          <w:color w:val="222222"/>
          <w:shd w:val="clear" w:color="auto" w:fill="FFFFFF"/>
        </w:rPr>
        <w:t>5</w:t>
      </w:r>
      <w:r w:rsidR="00C6307F">
        <w:rPr>
          <w:rFonts w:cstheme="minorHAnsi"/>
          <w:color w:val="222222"/>
          <w:shd w:val="clear" w:color="auto" w:fill="FFFFFF"/>
        </w:rPr>
        <w:t>.</w:t>
      </w:r>
    </w:p>
    <w:p w14:paraId="30048ED4" w14:textId="77777777" w:rsidR="007B1DE9" w:rsidRDefault="007B1DE9">
      <w:pPr>
        <w:pStyle w:val="Bezproreda"/>
        <w:rPr>
          <w:rFonts w:cstheme="minorHAnsi"/>
          <w:color w:val="222222"/>
          <w:highlight w:val="white"/>
        </w:rPr>
      </w:pPr>
    </w:p>
    <w:p w14:paraId="39E82D23" w14:textId="021B6B1F" w:rsidR="007B1DE9" w:rsidRDefault="00096288">
      <w:pPr>
        <w:pStyle w:val="Bezproreda"/>
      </w:pPr>
      <w:r>
        <w:rPr>
          <w:rFonts w:cstheme="minorHAnsi"/>
          <w:color w:val="222222"/>
          <w:shd w:val="clear" w:color="auto" w:fill="FFFFFF"/>
        </w:rPr>
        <w:t>Osoba za kontaktiranj</w:t>
      </w:r>
      <w:r w:rsidR="00F95FCE">
        <w:rPr>
          <w:rFonts w:cstheme="minorHAnsi"/>
          <w:color w:val="222222"/>
          <w:shd w:val="clear" w:color="auto" w:fill="FFFFFF"/>
        </w:rPr>
        <w:t>e</w:t>
      </w:r>
      <w:r>
        <w:rPr>
          <w:rFonts w:cstheme="minorHAnsi"/>
          <w:color w:val="222222"/>
          <w:shd w:val="clear" w:color="auto" w:fill="FFFFFF"/>
        </w:rPr>
        <w:t xml:space="preserve">: </w:t>
      </w:r>
    </w:p>
    <w:p w14:paraId="1B18748E" w14:textId="1E9EAD19" w:rsidR="007B1DE9" w:rsidRDefault="001160E9">
      <w:pPr>
        <w:pStyle w:val="Bezproreda"/>
      </w:pPr>
      <w:r>
        <w:rPr>
          <w:rFonts w:cstheme="minorHAnsi"/>
          <w:color w:val="222222"/>
          <w:shd w:val="clear" w:color="auto" w:fill="FFFFFF"/>
        </w:rPr>
        <w:t>Nedjeljka Božić</w:t>
      </w:r>
    </w:p>
    <w:p w14:paraId="143C2116" w14:textId="24450577" w:rsidR="007B1DE9" w:rsidRDefault="00096288">
      <w:pPr>
        <w:pStyle w:val="Bezproreda"/>
      </w:pPr>
      <w:r>
        <w:rPr>
          <w:rFonts w:cstheme="minorHAnsi"/>
          <w:color w:val="222222"/>
          <w:shd w:val="clear" w:color="auto" w:fill="FFFFFF"/>
        </w:rPr>
        <w:t>Broj telefona: 047/</w:t>
      </w:r>
      <w:r w:rsidR="001160E9">
        <w:rPr>
          <w:rFonts w:cstheme="minorHAnsi"/>
          <w:color w:val="222222"/>
          <w:shd w:val="clear" w:color="auto" w:fill="FFFFFF"/>
        </w:rPr>
        <w:t>638715</w:t>
      </w:r>
    </w:p>
    <w:p w14:paraId="61CE16FE" w14:textId="77777777" w:rsidR="007B1DE9" w:rsidRDefault="00096288">
      <w:pPr>
        <w:pStyle w:val="Bezproreda"/>
      </w:pPr>
      <w:r>
        <w:rPr>
          <w:rFonts w:cstheme="minorHAnsi"/>
          <w:color w:val="222222"/>
          <w:shd w:val="clear" w:color="auto" w:fill="FFFFFF"/>
        </w:rPr>
        <w:t xml:space="preserve">                                                                                                           Zakonski predstavnik, ravnateljica</w:t>
      </w:r>
    </w:p>
    <w:p w14:paraId="3A54EB7C" w14:textId="7CFEC10B" w:rsidR="007B1DE9" w:rsidRDefault="00096288">
      <w:pPr>
        <w:pStyle w:val="Bezproreda"/>
      </w:pPr>
      <w:r>
        <w:rPr>
          <w:rFonts w:cstheme="minorHAnsi"/>
          <w:color w:val="222222"/>
          <w:shd w:val="clear" w:color="auto" w:fill="FFFFFF"/>
        </w:rPr>
        <w:t xml:space="preserve">                                                                                                           </w:t>
      </w:r>
      <w:r w:rsidR="001160E9">
        <w:rPr>
          <w:rFonts w:cstheme="minorHAnsi"/>
          <w:color w:val="222222"/>
          <w:shd w:val="clear" w:color="auto" w:fill="FFFFFF"/>
        </w:rPr>
        <w:t xml:space="preserve">Jasmina Budinski, dipl. </w:t>
      </w:r>
      <w:proofErr w:type="spellStart"/>
      <w:r w:rsidR="001160E9">
        <w:rPr>
          <w:rFonts w:cstheme="minorHAnsi"/>
          <w:color w:val="222222"/>
          <w:shd w:val="clear" w:color="auto" w:fill="FFFFFF"/>
        </w:rPr>
        <w:t>uč</w:t>
      </w:r>
      <w:proofErr w:type="spellEnd"/>
      <w:r w:rsidR="001160E9">
        <w:rPr>
          <w:rFonts w:cstheme="minorHAnsi"/>
          <w:color w:val="222222"/>
          <w:shd w:val="clear" w:color="auto" w:fill="FFFFFF"/>
        </w:rPr>
        <w:t>.</w:t>
      </w:r>
    </w:p>
    <w:p w14:paraId="5BBC363E" w14:textId="712B730C" w:rsidR="00E82762" w:rsidRDefault="00E82762">
      <w:pPr>
        <w:pStyle w:val="Bezproreda"/>
        <w:rPr>
          <w:rFonts w:cstheme="minorHAnsi"/>
          <w:color w:val="222222"/>
          <w:highlight w:val="white"/>
        </w:rPr>
      </w:pPr>
      <w:r>
        <w:rPr>
          <w:rFonts w:cstheme="minorHAnsi"/>
          <w:color w:val="222222"/>
          <w:highlight w:val="white"/>
        </w:rPr>
        <w:t xml:space="preserve">                                                                                   </w:t>
      </w:r>
    </w:p>
    <w:p w14:paraId="0F3620B1" w14:textId="2024A090" w:rsidR="004343ED" w:rsidRDefault="00096288">
      <w:pPr>
        <w:pStyle w:val="Bezproreda"/>
        <w:rPr>
          <w:rFonts w:cstheme="minorHAnsi"/>
          <w:color w:val="222222"/>
          <w:shd w:val="clear" w:color="auto" w:fill="FFFFFF"/>
        </w:rPr>
      </w:pPr>
      <w:r>
        <w:rPr>
          <w:rFonts w:cstheme="minorHAnsi"/>
          <w:color w:val="222222"/>
          <w:shd w:val="clear" w:color="auto" w:fill="FFFFFF"/>
        </w:rPr>
        <w:t xml:space="preserve">                                                                          </w:t>
      </w:r>
      <w:bookmarkStart w:id="2" w:name="_Hlk162346208"/>
      <w:r>
        <w:rPr>
          <w:rFonts w:cstheme="minorHAnsi"/>
          <w:color w:val="222222"/>
          <w:shd w:val="clear" w:color="auto" w:fill="FFFFFF"/>
        </w:rPr>
        <w:t>MP                           ------------------------------------------</w:t>
      </w:r>
      <w:r w:rsidR="004343ED">
        <w:rPr>
          <w:rFonts w:cstheme="minorHAnsi"/>
          <w:color w:val="222222"/>
          <w:shd w:val="clear" w:color="auto" w:fill="FFFFFF"/>
        </w:rPr>
        <w:t>-----</w:t>
      </w:r>
    </w:p>
    <w:bookmarkEnd w:id="2"/>
    <w:p w14:paraId="1DA4B895" w14:textId="77777777" w:rsidR="004343ED" w:rsidRPr="004343ED" w:rsidRDefault="004343ED">
      <w:pPr>
        <w:pStyle w:val="Bezproreda"/>
        <w:rPr>
          <w:rFonts w:cstheme="minorHAnsi"/>
          <w:color w:val="222222"/>
          <w:shd w:val="clear" w:color="auto" w:fill="FFFFFF"/>
        </w:rPr>
      </w:pPr>
    </w:p>
    <w:p w14:paraId="0F7D854B" w14:textId="77777777" w:rsidR="007B1DE9" w:rsidRDefault="00096288">
      <w:pPr>
        <w:pStyle w:val="Bezproreda"/>
      </w:pPr>
      <w:r>
        <w:rPr>
          <w:rFonts w:cstheme="minorHAnsi"/>
          <w:color w:val="222222"/>
          <w:shd w:val="clear" w:color="auto" w:fill="FFFFFF"/>
        </w:rPr>
        <w:t xml:space="preserve">                                                                                                                                     potpis           </w:t>
      </w:r>
    </w:p>
    <w:p w14:paraId="5D6F550D" w14:textId="77777777" w:rsidR="007B1DE9" w:rsidRDefault="007B1DE9">
      <w:pPr>
        <w:pStyle w:val="Bezproreda"/>
        <w:rPr>
          <w:rFonts w:cstheme="minorHAnsi"/>
          <w:color w:val="222222"/>
          <w:highlight w:val="white"/>
        </w:rPr>
      </w:pPr>
    </w:p>
    <w:p w14:paraId="131EC684" w14:textId="77777777" w:rsidR="007B1DE9" w:rsidRDefault="007B1DE9">
      <w:pPr>
        <w:pStyle w:val="Bezproreda"/>
        <w:rPr>
          <w:rFonts w:cstheme="minorHAnsi"/>
          <w:color w:val="222222"/>
          <w:highlight w:val="white"/>
        </w:rPr>
      </w:pPr>
    </w:p>
    <w:p w14:paraId="2D6D1723" w14:textId="77777777" w:rsidR="007B1DE9" w:rsidRDefault="007B1DE9"/>
    <w:sectPr w:rsidR="007B1DE9" w:rsidSect="00DF3651">
      <w:footerReference w:type="default" r:id="rId8"/>
      <w:pgSz w:w="11906" w:h="16838"/>
      <w:pgMar w:top="567" w:right="1417" w:bottom="142"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88A2" w14:textId="77777777" w:rsidR="00D501FE" w:rsidRDefault="00D501FE">
      <w:pPr>
        <w:spacing w:after="0" w:line="240" w:lineRule="auto"/>
      </w:pPr>
      <w:r>
        <w:separator/>
      </w:r>
    </w:p>
  </w:endnote>
  <w:endnote w:type="continuationSeparator" w:id="0">
    <w:p w14:paraId="6A1F1646" w14:textId="77777777" w:rsidR="00D501FE" w:rsidRDefault="00D5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5B" w14:textId="16C842CC" w:rsidR="007B1DE9" w:rsidRDefault="004343ED">
    <w:pPr>
      <w:pStyle w:val="Podnoje"/>
      <w:jc w:val="center"/>
    </w:pPr>
    <w:r>
      <w:t xml:space="preserve">   </w:t>
    </w:r>
  </w:p>
  <w:p w14:paraId="5CA43BDD" w14:textId="77777777" w:rsidR="007B1DE9" w:rsidRDefault="007B1D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AD0B" w14:textId="77777777" w:rsidR="00D501FE" w:rsidRDefault="00D501FE">
      <w:pPr>
        <w:spacing w:after="0" w:line="240" w:lineRule="auto"/>
      </w:pPr>
      <w:r>
        <w:separator/>
      </w:r>
    </w:p>
  </w:footnote>
  <w:footnote w:type="continuationSeparator" w:id="0">
    <w:p w14:paraId="18370402" w14:textId="77777777" w:rsidR="00D501FE" w:rsidRDefault="00D50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9B1"/>
    <w:multiLevelType w:val="multilevel"/>
    <w:tmpl w:val="33F6EDA2"/>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1" w15:restartNumberingAfterBreak="0">
    <w:nsid w:val="09C03280"/>
    <w:multiLevelType w:val="multilevel"/>
    <w:tmpl w:val="4BD6C138"/>
    <w:lvl w:ilvl="0">
      <w:start w:val="1"/>
      <w:numFmt w:val="decimal"/>
      <w:lvlText w:val="%1."/>
      <w:lvlJc w:val="left"/>
      <w:pPr>
        <w:ind w:left="390" w:hanging="390"/>
      </w:pPr>
    </w:lvl>
    <w:lvl w:ilvl="1">
      <w:start w:val="1"/>
      <w:numFmt w:val="decimal"/>
      <w:lvlText w:val="%1.%2."/>
      <w:lvlJc w:val="left"/>
      <w:pPr>
        <w:ind w:left="885" w:hanging="39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2" w15:restartNumberingAfterBreak="0">
    <w:nsid w:val="12882EAB"/>
    <w:multiLevelType w:val="multilevel"/>
    <w:tmpl w:val="30BACED6"/>
    <w:lvl w:ilvl="0">
      <w:start w:val="1"/>
      <w:numFmt w:val="decimal"/>
      <w:lvlText w:val="%1."/>
      <w:lvlJc w:val="left"/>
      <w:pPr>
        <w:ind w:left="360" w:hanging="360"/>
      </w:pPr>
    </w:lvl>
    <w:lvl w:ilvl="1">
      <w:start w:val="1"/>
      <w:numFmt w:val="decimal"/>
      <w:lvlText w:val="%1.%2."/>
      <w:lvlJc w:val="left"/>
      <w:pPr>
        <w:ind w:left="855" w:hanging="360"/>
      </w:pPr>
    </w:lvl>
    <w:lvl w:ilvl="2">
      <w:start w:val="1"/>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760" w:hanging="1800"/>
      </w:pPr>
    </w:lvl>
  </w:abstractNum>
  <w:abstractNum w:abstractNumId="3" w15:restartNumberingAfterBreak="0">
    <w:nsid w:val="1B9C6C2A"/>
    <w:multiLevelType w:val="multilevel"/>
    <w:tmpl w:val="B5307B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386D19"/>
    <w:multiLevelType w:val="multilevel"/>
    <w:tmpl w:val="4C48B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A90E3D"/>
    <w:multiLevelType w:val="multilevel"/>
    <w:tmpl w:val="DA0234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2E52C7"/>
    <w:multiLevelType w:val="multilevel"/>
    <w:tmpl w:val="E25EBF4A"/>
    <w:lvl w:ilvl="0">
      <w:start w:val="1"/>
      <w:numFmt w:val="decimal"/>
      <w:lvlText w:val="%1."/>
      <w:lvlJc w:val="left"/>
      <w:pPr>
        <w:ind w:left="390" w:hanging="390"/>
      </w:pPr>
    </w:lvl>
    <w:lvl w:ilvl="1">
      <w:start w:val="1"/>
      <w:numFmt w:val="decimal"/>
      <w:lvlText w:val="%1.%2."/>
      <w:lvlJc w:val="left"/>
      <w:pPr>
        <w:ind w:left="930" w:hanging="39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 w15:restartNumberingAfterBreak="0">
    <w:nsid w:val="71FD3784"/>
    <w:multiLevelType w:val="multilevel"/>
    <w:tmpl w:val="1CEC13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4F1ACD"/>
    <w:multiLevelType w:val="multilevel"/>
    <w:tmpl w:val="C25E1A7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7"/>
  </w:num>
  <w:num w:numId="2">
    <w:abstractNumId w:val="8"/>
  </w:num>
  <w:num w:numId="3">
    <w:abstractNumId w:val="6"/>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E9"/>
    <w:rsid w:val="000012C1"/>
    <w:rsid w:val="00014F1D"/>
    <w:rsid w:val="00071A95"/>
    <w:rsid w:val="00081785"/>
    <w:rsid w:val="00096288"/>
    <w:rsid w:val="000E4ED2"/>
    <w:rsid w:val="000F238B"/>
    <w:rsid w:val="000F3644"/>
    <w:rsid w:val="001160E9"/>
    <w:rsid w:val="001213B9"/>
    <w:rsid w:val="00182E68"/>
    <w:rsid w:val="001A350F"/>
    <w:rsid w:val="002061DF"/>
    <w:rsid w:val="00234B63"/>
    <w:rsid w:val="00235C36"/>
    <w:rsid w:val="00300CB0"/>
    <w:rsid w:val="003341EF"/>
    <w:rsid w:val="003961DF"/>
    <w:rsid w:val="00396330"/>
    <w:rsid w:val="004029E9"/>
    <w:rsid w:val="004343ED"/>
    <w:rsid w:val="004D15F9"/>
    <w:rsid w:val="004D2A8B"/>
    <w:rsid w:val="004E73AE"/>
    <w:rsid w:val="005766F9"/>
    <w:rsid w:val="006C15C7"/>
    <w:rsid w:val="007025C5"/>
    <w:rsid w:val="007100A6"/>
    <w:rsid w:val="00722199"/>
    <w:rsid w:val="00756415"/>
    <w:rsid w:val="007B1DE9"/>
    <w:rsid w:val="007B73F2"/>
    <w:rsid w:val="00804FFC"/>
    <w:rsid w:val="00826F8E"/>
    <w:rsid w:val="009C2F18"/>
    <w:rsid w:val="009D48CB"/>
    <w:rsid w:val="009F0550"/>
    <w:rsid w:val="009F3DEE"/>
    <w:rsid w:val="00A51F92"/>
    <w:rsid w:val="00A65871"/>
    <w:rsid w:val="00AE2104"/>
    <w:rsid w:val="00AF673A"/>
    <w:rsid w:val="00B321CC"/>
    <w:rsid w:val="00B40EAA"/>
    <w:rsid w:val="00B61211"/>
    <w:rsid w:val="00B66218"/>
    <w:rsid w:val="00BA50E7"/>
    <w:rsid w:val="00BA6D2B"/>
    <w:rsid w:val="00C36AD1"/>
    <w:rsid w:val="00C43E83"/>
    <w:rsid w:val="00C6307F"/>
    <w:rsid w:val="00CB2A73"/>
    <w:rsid w:val="00CC778A"/>
    <w:rsid w:val="00CE6F25"/>
    <w:rsid w:val="00D1793F"/>
    <w:rsid w:val="00D3069A"/>
    <w:rsid w:val="00D501FE"/>
    <w:rsid w:val="00D83E4A"/>
    <w:rsid w:val="00D9566C"/>
    <w:rsid w:val="00DC2AC7"/>
    <w:rsid w:val="00DC7D84"/>
    <w:rsid w:val="00DD0DDD"/>
    <w:rsid w:val="00DF3651"/>
    <w:rsid w:val="00E13E54"/>
    <w:rsid w:val="00E221A8"/>
    <w:rsid w:val="00E82762"/>
    <w:rsid w:val="00EA0528"/>
    <w:rsid w:val="00EA5B74"/>
    <w:rsid w:val="00EC69BF"/>
    <w:rsid w:val="00F01789"/>
    <w:rsid w:val="00F10D7B"/>
    <w:rsid w:val="00F862B2"/>
    <w:rsid w:val="00F92081"/>
    <w:rsid w:val="00F95FC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92BF"/>
  <w15:docId w15:val="{628414AE-3D8F-4FEE-BFFF-6B4A487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A21381"/>
  </w:style>
  <w:style w:type="character" w:customStyle="1" w:styleId="PodnojeChar">
    <w:name w:val="Podnožje Char"/>
    <w:basedOn w:val="Zadanifontodlomka"/>
    <w:link w:val="Podnoje"/>
    <w:uiPriority w:val="99"/>
    <w:qFormat/>
    <w:rsid w:val="00A21381"/>
  </w:style>
  <w:style w:type="character" w:customStyle="1" w:styleId="TekstbaloniaChar">
    <w:name w:val="Tekst balončića Char"/>
    <w:basedOn w:val="Zadanifontodlomka"/>
    <w:link w:val="Tekstbalonia"/>
    <w:uiPriority w:val="99"/>
    <w:semiHidden/>
    <w:qFormat/>
    <w:rsid w:val="00A2138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362522"/>
    <w:rPr>
      <w:sz w:val="22"/>
    </w:rPr>
  </w:style>
  <w:style w:type="paragraph" w:styleId="Zaglavlje">
    <w:name w:val="header"/>
    <w:basedOn w:val="Normal"/>
    <w:link w:val="ZaglavljeChar"/>
    <w:uiPriority w:val="99"/>
    <w:unhideWhenUsed/>
    <w:rsid w:val="00A21381"/>
    <w:pPr>
      <w:tabs>
        <w:tab w:val="center" w:pos="4536"/>
        <w:tab w:val="right" w:pos="9072"/>
      </w:tabs>
      <w:spacing w:after="0" w:line="240" w:lineRule="auto"/>
    </w:pPr>
  </w:style>
  <w:style w:type="paragraph" w:styleId="Podnoje">
    <w:name w:val="footer"/>
    <w:basedOn w:val="Normal"/>
    <w:link w:val="PodnojeChar"/>
    <w:uiPriority w:val="99"/>
    <w:unhideWhenUsed/>
    <w:rsid w:val="00A21381"/>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A21381"/>
    <w:pPr>
      <w:spacing w:after="0" w:line="240" w:lineRule="auto"/>
    </w:pPr>
    <w:rPr>
      <w:rFonts w:ascii="Segoe UI" w:hAnsi="Segoe UI" w:cs="Segoe UI"/>
      <w:sz w:val="18"/>
      <w:szCs w:val="18"/>
    </w:rPr>
  </w:style>
  <w:style w:type="table" w:styleId="Reetkatablice">
    <w:name w:val="Table Grid"/>
    <w:basedOn w:val="Obinatablica"/>
    <w:uiPriority w:val="59"/>
    <w:rsid w:val="007B3A15"/>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8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38E0-D42F-493B-8426-9CA08F7D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1704</Words>
  <Characters>9719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dc:creator>
  <dc:description/>
  <cp:lastModifiedBy>Nedjeljka Božić</cp:lastModifiedBy>
  <cp:revision>17</cp:revision>
  <cp:lastPrinted>2022-07-12T06:01:00Z</cp:lastPrinted>
  <dcterms:created xsi:type="dcterms:W3CDTF">2025-03-18T07:46:00Z</dcterms:created>
  <dcterms:modified xsi:type="dcterms:W3CDTF">2025-03-18T11:04:00Z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